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C510" w14:textId="77777777" w:rsidR="00B900C1" w:rsidRPr="00207F77" w:rsidRDefault="00CF0EAB" w:rsidP="00A12393">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Arial" w:hAnsi="Arial" w:cs="Arial"/>
          <w:b/>
          <w:bCs/>
          <w:sz w:val="28"/>
          <w:szCs w:val="28"/>
          <w:lang w:val="en-GB"/>
        </w:rPr>
      </w:pPr>
      <w:r w:rsidRPr="00207F77">
        <w:rPr>
          <w:rFonts w:ascii="Arial" w:hAnsi="Arial" w:cs="Arial"/>
          <w:b/>
          <w:bCs/>
          <w:sz w:val="28"/>
          <w:szCs w:val="28"/>
          <w:lang w:val="en-GB"/>
        </w:rPr>
        <w:t>Measuring changes in energy behaviours in complex non-domestic buildings</w:t>
      </w:r>
    </w:p>
    <w:p w14:paraId="5510E255" w14:textId="77777777" w:rsidR="007F7A11" w:rsidRPr="00207F77" w:rsidRDefault="007F7A11" w:rsidP="00AD245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Arial" w:hAnsi="Arial" w:cs="Arial"/>
          <w:b/>
          <w:bCs/>
          <w:sz w:val="28"/>
          <w:szCs w:val="28"/>
          <w:lang w:val="en-GB"/>
        </w:rPr>
      </w:pPr>
    </w:p>
    <w:p w14:paraId="03C7C9D3" w14:textId="77777777" w:rsidR="00CF0EAB" w:rsidRPr="00207F77" w:rsidRDefault="00CF0EAB" w:rsidP="00AD245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Arial" w:hAnsi="Arial" w:cs="Arial"/>
          <w:i/>
          <w:iCs/>
          <w:lang w:val="en-GB"/>
        </w:rPr>
      </w:pPr>
      <w:r w:rsidRPr="00207F77">
        <w:rPr>
          <w:rFonts w:ascii="Arial" w:hAnsi="Arial" w:cs="Arial"/>
          <w:i/>
          <w:iCs/>
          <w:lang w:val="en-GB"/>
        </w:rPr>
        <w:t xml:space="preserve">Paula Morgenstern, UCL Energy Institute, University College London, London, UK </w:t>
      </w:r>
    </w:p>
    <w:p w14:paraId="22964932" w14:textId="77777777" w:rsidR="00CF0EAB" w:rsidRPr="00207F77" w:rsidRDefault="00CF0EAB" w:rsidP="00CF0EAB">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Arial" w:hAnsi="Arial" w:cs="Arial"/>
          <w:i/>
          <w:iCs/>
          <w:lang w:val="en-GB"/>
        </w:rPr>
      </w:pPr>
      <w:r w:rsidRPr="00207F77">
        <w:rPr>
          <w:rFonts w:ascii="Arial" w:hAnsi="Arial" w:cs="Arial"/>
          <w:i/>
          <w:iCs/>
          <w:lang w:val="en-GB"/>
        </w:rPr>
        <w:t>Rokia Raslan,</w:t>
      </w:r>
      <w:r w:rsidRPr="00207F77">
        <w:rPr>
          <w:lang w:val="en-GB"/>
        </w:rPr>
        <w:t xml:space="preserve"> </w:t>
      </w:r>
      <w:r w:rsidRPr="00207F77">
        <w:rPr>
          <w:rFonts w:ascii="Arial" w:hAnsi="Arial" w:cs="Arial"/>
          <w:i/>
          <w:iCs/>
          <w:lang w:val="en-GB"/>
        </w:rPr>
        <w:t xml:space="preserve">Bartlett School of Graduate Studies, University College London, London, UK </w:t>
      </w:r>
    </w:p>
    <w:p w14:paraId="7A82B6B6" w14:textId="77777777" w:rsidR="00CF0EAB" w:rsidRPr="00207F77" w:rsidRDefault="00CF0EAB" w:rsidP="00CF0EAB">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Arial" w:hAnsi="Arial" w:cs="Arial"/>
          <w:i/>
          <w:iCs/>
          <w:lang w:val="en-GB"/>
        </w:rPr>
      </w:pPr>
      <w:r w:rsidRPr="00207F77">
        <w:rPr>
          <w:rFonts w:ascii="Arial" w:hAnsi="Arial" w:cs="Arial"/>
          <w:i/>
          <w:iCs/>
          <w:lang w:val="en-GB"/>
        </w:rPr>
        <w:t xml:space="preserve">Paul Ruyssevelt, UCL Energy Institute, University College London, London, UK </w:t>
      </w:r>
    </w:p>
    <w:p w14:paraId="03A86320" w14:textId="77777777" w:rsidR="00587ED3" w:rsidRPr="00207F77" w:rsidRDefault="00587ED3" w:rsidP="00AD245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rPr>
          <w:rFonts w:ascii="Arial" w:hAnsi="Arial" w:cs="Arial"/>
          <w:i/>
          <w:iCs/>
          <w:lang w:val="en-GB"/>
        </w:rPr>
      </w:pPr>
    </w:p>
    <w:p w14:paraId="6DEF719A" w14:textId="77777777" w:rsidR="00207F77" w:rsidRPr="00207F77" w:rsidRDefault="001E3780" w:rsidP="00207F77">
      <w:pPr>
        <w:pStyle w:val="AbstractHeading"/>
        <w:jc w:val="both"/>
        <w:rPr>
          <w:rFonts w:ascii="Arial" w:hAnsi="Arial"/>
          <w:lang w:val="en-GB"/>
        </w:rPr>
      </w:pPr>
      <w:r w:rsidRPr="00207F77">
        <w:rPr>
          <w:rFonts w:ascii="Arial" w:hAnsi="Arial"/>
          <w:lang w:val="en-GB"/>
        </w:rPr>
        <w:t>ABSTRACT</w:t>
      </w:r>
    </w:p>
    <w:p w14:paraId="15E61CE1" w14:textId="71269E97" w:rsidR="00CF0EAB" w:rsidRPr="00207F77" w:rsidRDefault="00CF0EAB" w:rsidP="00207F77">
      <w:pPr>
        <w:jc w:val="both"/>
        <w:rPr>
          <w:rFonts w:ascii="Arial" w:hAnsi="Arial" w:cs="Arial"/>
          <w:lang w:val="en-GB"/>
        </w:rPr>
      </w:pPr>
      <w:r w:rsidRPr="00207F77">
        <w:rPr>
          <w:rFonts w:ascii="Arial" w:hAnsi="Arial" w:cs="Arial"/>
          <w:lang w:val="en-GB"/>
        </w:rPr>
        <w:t>It is increasingly recognized that considerable energy savings can be achieved in non-domestic buildings through changes in occupant behaviour. The evaluation of behavioural initiatives in complex non-domestic buildings</w:t>
      </w:r>
      <w:r w:rsidR="005054EA" w:rsidRPr="00207F77">
        <w:rPr>
          <w:rFonts w:ascii="Arial" w:hAnsi="Arial" w:cs="Arial"/>
          <w:lang w:val="en-GB"/>
        </w:rPr>
        <w:t xml:space="preserve">, however, can be difficult because baseline building energy use is often poorly understood due to the variety of organisational processes and the prevalent lack of sub-metering. </w:t>
      </w:r>
      <w:r w:rsidRPr="00207F77">
        <w:rPr>
          <w:rFonts w:ascii="Arial" w:hAnsi="Arial" w:cs="Arial"/>
          <w:lang w:val="en-GB"/>
        </w:rPr>
        <w:t>This paper aims to investigate the evaluation of an energy awareness campaign at a large acute hospital. Although the sub-metering levels in this hospital were comparatively high, the</w:t>
      </w:r>
      <w:r w:rsidR="00584243">
        <w:rPr>
          <w:rFonts w:ascii="Arial" w:hAnsi="Arial" w:cs="Arial"/>
          <w:lang w:val="en-GB"/>
        </w:rPr>
        <w:t>re were considerable</w:t>
      </w:r>
      <w:r w:rsidRPr="00207F77">
        <w:rPr>
          <w:rFonts w:ascii="Arial" w:hAnsi="Arial" w:cs="Arial"/>
          <w:lang w:val="en-GB"/>
        </w:rPr>
        <w:t xml:space="preserve"> difficulties in measuring and attributing changes in energy use to the behavioural campaign due to the complexity of the underlying consumption profile from building services and appliance use</w:t>
      </w:r>
      <w:r w:rsidR="005054EA" w:rsidRPr="00207F77">
        <w:rPr>
          <w:rFonts w:ascii="Arial" w:hAnsi="Arial" w:cs="Arial"/>
          <w:lang w:val="en-GB"/>
        </w:rPr>
        <w:t xml:space="preserve"> as well as varying engagement </w:t>
      </w:r>
      <w:r w:rsidRPr="00207F77">
        <w:rPr>
          <w:rFonts w:ascii="Arial" w:hAnsi="Arial" w:cs="Arial"/>
          <w:lang w:val="en-GB"/>
        </w:rPr>
        <w:t xml:space="preserve">of occupants with the awareness campaign </w:t>
      </w:r>
      <w:r w:rsidR="005054EA" w:rsidRPr="00207F77">
        <w:rPr>
          <w:rFonts w:ascii="Arial" w:hAnsi="Arial" w:cs="Arial"/>
          <w:lang w:val="en-GB"/>
        </w:rPr>
        <w:t xml:space="preserve">across the hospital. </w:t>
      </w:r>
      <w:r w:rsidRPr="00207F77">
        <w:rPr>
          <w:rFonts w:ascii="Arial" w:hAnsi="Arial" w:cs="Arial"/>
          <w:lang w:val="en-GB"/>
        </w:rPr>
        <w:t>These findings highlight that the methodology used to estimate energy savings from behaviour change in complex non-domestic buildings is hugely important, while so far no standardised methodologies are available</w:t>
      </w:r>
      <w:r w:rsidR="005054EA" w:rsidRPr="00207F77">
        <w:rPr>
          <w:rFonts w:ascii="Arial" w:hAnsi="Arial" w:cs="Arial"/>
          <w:lang w:val="en-GB"/>
        </w:rPr>
        <w:t>. It is suggested that</w:t>
      </w:r>
      <w:r w:rsidRPr="00207F77">
        <w:rPr>
          <w:rFonts w:ascii="Arial" w:hAnsi="Arial" w:cs="Arial"/>
          <w:lang w:val="en-GB"/>
        </w:rPr>
        <w:t xml:space="preserve"> behavioural initiatives in complex non-domestic buildings</w:t>
      </w:r>
      <w:r w:rsidR="006E4AB6">
        <w:rPr>
          <w:rFonts w:ascii="Arial" w:hAnsi="Arial" w:cs="Arial"/>
          <w:lang w:val="en-GB"/>
        </w:rPr>
        <w:t xml:space="preserve"> could be more fairly assessed using</w:t>
      </w:r>
      <w:r w:rsidRPr="00207F77">
        <w:rPr>
          <w:rFonts w:ascii="Arial" w:hAnsi="Arial" w:cs="Arial"/>
          <w:lang w:val="en-GB"/>
        </w:rPr>
        <w:t xml:space="preserve"> </w:t>
      </w:r>
      <w:r w:rsidR="006E4AB6" w:rsidRPr="00207F77">
        <w:rPr>
          <w:rFonts w:ascii="Arial" w:hAnsi="Arial" w:cs="Arial"/>
          <w:lang w:val="en-GB"/>
        </w:rPr>
        <w:t>intermediate performance indicators</w:t>
      </w:r>
      <w:r w:rsidR="006E4AB6">
        <w:rPr>
          <w:rFonts w:ascii="Arial" w:hAnsi="Arial" w:cs="Arial"/>
          <w:lang w:val="en-GB"/>
        </w:rPr>
        <w:t xml:space="preserve"> of </w:t>
      </w:r>
      <w:r w:rsidRPr="00207F77">
        <w:rPr>
          <w:rFonts w:ascii="Arial" w:hAnsi="Arial" w:cs="Arial"/>
          <w:lang w:val="en-GB"/>
        </w:rPr>
        <w:t>their impact on participants.</w:t>
      </w:r>
    </w:p>
    <w:p w14:paraId="37EEA800" w14:textId="77777777" w:rsidR="005054EA" w:rsidRPr="00207F77" w:rsidRDefault="005054EA" w:rsidP="005054EA">
      <w:pPr>
        <w:rPr>
          <w:lang w:val="en-GB"/>
        </w:rPr>
      </w:pPr>
    </w:p>
    <w:p w14:paraId="59AFCDAF" w14:textId="77777777" w:rsidR="00B900C1" w:rsidRPr="00207F77" w:rsidRDefault="00207F77" w:rsidP="00CF0EAB">
      <w:pPr>
        <w:pStyle w:val="Heading1"/>
        <w:jc w:val="both"/>
        <w:rPr>
          <w:rFonts w:ascii="Arial" w:hAnsi="Arial"/>
          <w:lang w:val="en-GB"/>
        </w:rPr>
      </w:pPr>
      <w:r w:rsidRPr="00207F77">
        <w:rPr>
          <w:rFonts w:ascii="Arial" w:hAnsi="Arial"/>
          <w:lang w:val="en-GB"/>
        </w:rPr>
        <w:t>Context</w:t>
      </w:r>
    </w:p>
    <w:p w14:paraId="48728991" w14:textId="3328F38E" w:rsidR="005D157B" w:rsidRDefault="00207F77" w:rsidP="00207F77">
      <w:pPr>
        <w:jc w:val="both"/>
        <w:rPr>
          <w:rFonts w:ascii="Arial" w:hAnsi="Arial" w:cs="Arial"/>
          <w:lang w:val="en-GB"/>
        </w:rPr>
      </w:pPr>
      <w:r>
        <w:rPr>
          <w:rFonts w:ascii="Arial" w:hAnsi="Arial" w:cs="Arial"/>
          <w:lang w:val="en-GB"/>
        </w:rPr>
        <w:t>T</w:t>
      </w:r>
      <w:r w:rsidRPr="00207F77">
        <w:rPr>
          <w:rFonts w:ascii="Arial" w:hAnsi="Arial" w:cs="Arial"/>
          <w:lang w:val="en-GB"/>
        </w:rPr>
        <w:t>he energy used for heating and powering</w:t>
      </w:r>
      <w:r>
        <w:rPr>
          <w:rFonts w:ascii="Arial" w:hAnsi="Arial" w:cs="Arial"/>
          <w:lang w:val="en-GB"/>
        </w:rPr>
        <w:t xml:space="preserve"> </w:t>
      </w:r>
      <w:r w:rsidRPr="00207F77">
        <w:rPr>
          <w:rFonts w:ascii="Arial" w:hAnsi="Arial" w:cs="Arial"/>
          <w:lang w:val="en-GB"/>
        </w:rPr>
        <w:t>non-domestic buildings is responsible for around 12% of the</w:t>
      </w:r>
      <w:r>
        <w:rPr>
          <w:rFonts w:ascii="Arial" w:hAnsi="Arial" w:cs="Arial"/>
          <w:lang w:val="en-GB"/>
        </w:rPr>
        <w:t xml:space="preserve"> </w:t>
      </w:r>
      <w:r w:rsidRPr="00207F77">
        <w:rPr>
          <w:rFonts w:ascii="Arial" w:hAnsi="Arial" w:cs="Arial"/>
          <w:lang w:val="en-GB"/>
        </w:rPr>
        <w:t>U</w:t>
      </w:r>
      <w:r w:rsidR="00F7443A">
        <w:rPr>
          <w:rFonts w:ascii="Arial" w:hAnsi="Arial" w:cs="Arial"/>
          <w:lang w:val="en-GB"/>
        </w:rPr>
        <w:t xml:space="preserve">nited </w:t>
      </w:r>
      <w:r w:rsidRPr="00207F77">
        <w:rPr>
          <w:rFonts w:ascii="Arial" w:hAnsi="Arial" w:cs="Arial"/>
          <w:lang w:val="en-GB"/>
        </w:rPr>
        <w:t>K</w:t>
      </w:r>
      <w:r w:rsidR="00F7443A">
        <w:rPr>
          <w:rFonts w:ascii="Arial" w:hAnsi="Arial" w:cs="Arial"/>
          <w:lang w:val="en-GB"/>
        </w:rPr>
        <w:t>ingdom</w:t>
      </w:r>
      <w:r w:rsidRPr="00207F77">
        <w:rPr>
          <w:rFonts w:ascii="Arial" w:hAnsi="Arial" w:cs="Arial"/>
          <w:lang w:val="en-GB"/>
        </w:rPr>
        <w:t xml:space="preserve">’s </w:t>
      </w:r>
      <w:r w:rsidR="0089151B">
        <w:rPr>
          <w:rFonts w:ascii="Arial" w:hAnsi="Arial" w:cs="Arial"/>
          <w:lang w:val="en-GB"/>
        </w:rPr>
        <w:t xml:space="preserve">GHG </w:t>
      </w:r>
      <w:r w:rsidRPr="00207F77">
        <w:rPr>
          <w:rFonts w:ascii="Arial" w:hAnsi="Arial" w:cs="Arial"/>
          <w:lang w:val="en-GB"/>
        </w:rPr>
        <w:t xml:space="preserve">emissions </w:t>
      </w:r>
      <w:r>
        <w:rPr>
          <w:rFonts w:ascii="Arial" w:hAnsi="Arial" w:cs="Arial"/>
          <w:lang w:val="en-GB"/>
        </w:rPr>
        <w:t xml:space="preserve">[1]. </w:t>
      </w:r>
      <w:r w:rsidR="009A19B1">
        <w:rPr>
          <w:rFonts w:ascii="Arial" w:hAnsi="Arial" w:cs="Arial"/>
          <w:lang w:val="en-GB"/>
        </w:rPr>
        <w:t>Against this background, i</w:t>
      </w:r>
      <w:r w:rsidRPr="00207F77">
        <w:rPr>
          <w:rFonts w:ascii="Arial" w:hAnsi="Arial" w:cs="Arial"/>
          <w:lang w:val="en-GB"/>
        </w:rPr>
        <w:t>t is increasingly recognized that considerable energy savings can</w:t>
      </w:r>
      <w:r w:rsidR="0089151B">
        <w:rPr>
          <w:rFonts w:ascii="Arial" w:hAnsi="Arial" w:cs="Arial"/>
          <w:lang w:val="en-GB"/>
        </w:rPr>
        <w:t xml:space="preserve"> potentially</w:t>
      </w:r>
      <w:r w:rsidRPr="00207F77">
        <w:rPr>
          <w:rFonts w:ascii="Arial" w:hAnsi="Arial" w:cs="Arial"/>
          <w:lang w:val="en-GB"/>
        </w:rPr>
        <w:t xml:space="preserve"> be achieved </w:t>
      </w:r>
      <w:r w:rsidR="009A19B1">
        <w:rPr>
          <w:rFonts w:ascii="Arial" w:hAnsi="Arial" w:cs="Arial"/>
          <w:lang w:val="en-GB"/>
        </w:rPr>
        <w:t xml:space="preserve">cost-effectively </w:t>
      </w:r>
      <w:r w:rsidRPr="00207F77">
        <w:rPr>
          <w:rFonts w:ascii="Arial" w:hAnsi="Arial" w:cs="Arial"/>
          <w:lang w:val="en-GB"/>
        </w:rPr>
        <w:t>through changes in occupant behaviour. But while the impact of user-centred interventions is comparatively well understood in domestic settings</w:t>
      </w:r>
      <w:r w:rsidR="00F7443A">
        <w:rPr>
          <w:rFonts w:ascii="Arial" w:hAnsi="Arial" w:cs="Arial"/>
          <w:lang w:val="en-GB"/>
        </w:rPr>
        <w:t xml:space="preserve"> [2]</w:t>
      </w:r>
      <w:r w:rsidRPr="00207F77">
        <w:rPr>
          <w:rFonts w:ascii="Arial" w:hAnsi="Arial" w:cs="Arial"/>
          <w:lang w:val="en-GB"/>
        </w:rPr>
        <w:t xml:space="preserve">, this remains less so in </w:t>
      </w:r>
      <w:r w:rsidR="0089151B" w:rsidRPr="00207F77">
        <w:rPr>
          <w:rFonts w:ascii="Arial" w:hAnsi="Arial" w:cs="Arial"/>
          <w:lang w:val="en-GB"/>
        </w:rPr>
        <w:t xml:space="preserve">complex non-domestic buildings such as big offices, </w:t>
      </w:r>
      <w:r w:rsidR="0089151B">
        <w:rPr>
          <w:rFonts w:ascii="Arial" w:hAnsi="Arial" w:cs="Arial"/>
          <w:lang w:val="en-GB"/>
        </w:rPr>
        <w:t xml:space="preserve">university buildings, </w:t>
      </w:r>
      <w:r w:rsidR="0089151B" w:rsidRPr="00207F77">
        <w:rPr>
          <w:rFonts w:ascii="Arial" w:hAnsi="Arial" w:cs="Arial"/>
          <w:lang w:val="en-GB"/>
        </w:rPr>
        <w:t>schools or hospitals</w:t>
      </w:r>
      <w:r w:rsidRPr="00207F77">
        <w:rPr>
          <w:rFonts w:ascii="Arial" w:hAnsi="Arial" w:cs="Arial"/>
          <w:lang w:val="en-GB"/>
        </w:rPr>
        <w:t xml:space="preserve">. Studies indicate that energy savings measured in organisations can vary between 1 and 12 % for heat </w:t>
      </w:r>
      <w:r w:rsidR="0089151B">
        <w:rPr>
          <w:rFonts w:ascii="Arial" w:hAnsi="Arial" w:cs="Arial"/>
          <w:lang w:val="en-GB"/>
        </w:rPr>
        <w:t>[3</w:t>
      </w:r>
      <w:r w:rsidR="009A19B1">
        <w:rPr>
          <w:rFonts w:ascii="Arial" w:hAnsi="Arial" w:cs="Arial"/>
          <w:lang w:val="en-GB"/>
        </w:rPr>
        <w:t xml:space="preserve">, 4, </w:t>
      </w:r>
      <w:r w:rsidR="00AF133A">
        <w:rPr>
          <w:rFonts w:ascii="Arial" w:hAnsi="Arial" w:cs="Arial"/>
          <w:lang w:val="en-GB"/>
        </w:rPr>
        <w:t>5</w:t>
      </w:r>
      <w:r w:rsidR="00F7443A">
        <w:rPr>
          <w:rFonts w:ascii="Arial" w:hAnsi="Arial" w:cs="Arial"/>
          <w:lang w:val="en-GB"/>
        </w:rPr>
        <w:t>, 6</w:t>
      </w:r>
      <w:r w:rsidR="00AF133A">
        <w:rPr>
          <w:rFonts w:ascii="Arial" w:hAnsi="Arial" w:cs="Arial"/>
          <w:lang w:val="en-GB"/>
        </w:rPr>
        <w:t xml:space="preserve">] </w:t>
      </w:r>
      <w:r w:rsidRPr="00207F77">
        <w:rPr>
          <w:rFonts w:ascii="Arial" w:hAnsi="Arial" w:cs="Arial"/>
          <w:lang w:val="en-GB"/>
        </w:rPr>
        <w:t xml:space="preserve">and </w:t>
      </w:r>
      <w:r w:rsidR="00AF133A">
        <w:rPr>
          <w:rFonts w:ascii="Arial" w:hAnsi="Arial" w:cs="Arial"/>
          <w:lang w:val="en-GB"/>
        </w:rPr>
        <w:t>1.5</w:t>
      </w:r>
      <w:r w:rsidRPr="00207F77">
        <w:rPr>
          <w:rFonts w:ascii="Arial" w:hAnsi="Arial" w:cs="Arial"/>
          <w:lang w:val="en-GB"/>
        </w:rPr>
        <w:t xml:space="preserve"> to </w:t>
      </w:r>
      <w:r w:rsidR="00AF133A">
        <w:rPr>
          <w:rFonts w:ascii="Arial" w:hAnsi="Arial" w:cs="Arial"/>
          <w:lang w:val="en-GB"/>
        </w:rPr>
        <w:t>8</w:t>
      </w:r>
      <w:r w:rsidRPr="00207F77">
        <w:rPr>
          <w:rFonts w:ascii="Arial" w:hAnsi="Arial" w:cs="Arial"/>
          <w:lang w:val="en-GB"/>
        </w:rPr>
        <w:t>% for electricity</w:t>
      </w:r>
      <w:r w:rsidR="0089151B">
        <w:rPr>
          <w:rFonts w:ascii="Arial" w:hAnsi="Arial" w:cs="Arial"/>
          <w:lang w:val="en-GB"/>
        </w:rPr>
        <w:t xml:space="preserve"> [</w:t>
      </w:r>
      <w:r w:rsidR="00F7443A">
        <w:rPr>
          <w:rFonts w:ascii="Arial" w:hAnsi="Arial" w:cs="Arial"/>
          <w:lang w:val="en-GB"/>
        </w:rPr>
        <w:t>3</w:t>
      </w:r>
      <w:r w:rsidR="009A19B1">
        <w:rPr>
          <w:rFonts w:ascii="Arial" w:hAnsi="Arial" w:cs="Arial"/>
          <w:lang w:val="en-GB"/>
        </w:rPr>
        <w:t xml:space="preserve">, </w:t>
      </w:r>
      <w:r w:rsidR="00F7443A">
        <w:rPr>
          <w:rFonts w:ascii="Arial" w:hAnsi="Arial" w:cs="Arial"/>
          <w:lang w:val="en-GB"/>
        </w:rPr>
        <w:t>4</w:t>
      </w:r>
      <w:r w:rsidR="009A19B1">
        <w:rPr>
          <w:rFonts w:ascii="Arial" w:hAnsi="Arial" w:cs="Arial"/>
          <w:lang w:val="en-GB"/>
        </w:rPr>
        <w:t xml:space="preserve">, </w:t>
      </w:r>
      <w:r w:rsidR="0089151B">
        <w:rPr>
          <w:rFonts w:ascii="Arial" w:hAnsi="Arial" w:cs="Arial"/>
          <w:lang w:val="en-GB"/>
        </w:rPr>
        <w:t>7</w:t>
      </w:r>
      <w:r w:rsidR="009A19B1">
        <w:rPr>
          <w:rFonts w:ascii="Arial" w:hAnsi="Arial" w:cs="Arial"/>
          <w:lang w:val="en-GB"/>
        </w:rPr>
        <w:t>, 8, 9</w:t>
      </w:r>
      <w:r w:rsidR="00F7443A">
        <w:rPr>
          <w:rFonts w:ascii="Arial" w:hAnsi="Arial" w:cs="Arial"/>
          <w:lang w:val="en-GB"/>
        </w:rPr>
        <w:t>, 10</w:t>
      </w:r>
      <w:r w:rsidR="009A19B1">
        <w:rPr>
          <w:rFonts w:ascii="Arial" w:hAnsi="Arial" w:cs="Arial"/>
          <w:lang w:val="en-GB"/>
        </w:rPr>
        <w:t>]</w:t>
      </w:r>
      <w:r w:rsidRPr="00207F77">
        <w:rPr>
          <w:rFonts w:ascii="Arial" w:hAnsi="Arial" w:cs="Arial"/>
          <w:lang w:val="en-GB"/>
        </w:rPr>
        <w:t xml:space="preserve">, while simulations </w:t>
      </w:r>
      <w:r w:rsidR="009A19B1">
        <w:rPr>
          <w:rFonts w:ascii="Arial" w:hAnsi="Arial" w:cs="Arial"/>
          <w:lang w:val="en-GB"/>
        </w:rPr>
        <w:t xml:space="preserve">more </w:t>
      </w:r>
      <w:r>
        <w:rPr>
          <w:rFonts w:ascii="Arial" w:hAnsi="Arial" w:cs="Arial"/>
          <w:lang w:val="en-GB"/>
        </w:rPr>
        <w:t xml:space="preserve">consistently </w:t>
      </w:r>
      <w:r w:rsidRPr="00207F77">
        <w:rPr>
          <w:rFonts w:ascii="Arial" w:hAnsi="Arial" w:cs="Arial"/>
          <w:lang w:val="en-GB"/>
        </w:rPr>
        <w:t xml:space="preserve">claim a potential of up </w:t>
      </w:r>
      <w:r>
        <w:rPr>
          <w:rFonts w:ascii="Arial" w:hAnsi="Arial" w:cs="Arial"/>
          <w:lang w:val="en-GB"/>
        </w:rPr>
        <w:t xml:space="preserve">to </w:t>
      </w:r>
      <w:r w:rsidRPr="00207F77">
        <w:rPr>
          <w:rFonts w:ascii="Arial" w:hAnsi="Arial" w:cs="Arial"/>
          <w:lang w:val="en-GB"/>
        </w:rPr>
        <w:t>20%</w:t>
      </w:r>
      <w:r w:rsidR="0089151B">
        <w:rPr>
          <w:rFonts w:ascii="Arial" w:hAnsi="Arial" w:cs="Arial"/>
          <w:lang w:val="en-GB"/>
        </w:rPr>
        <w:t xml:space="preserve"> </w:t>
      </w:r>
      <w:r w:rsidR="00F7443A">
        <w:rPr>
          <w:rFonts w:ascii="Arial" w:hAnsi="Arial" w:cs="Arial"/>
          <w:lang w:val="en-GB"/>
        </w:rPr>
        <w:t xml:space="preserve">of total energy use </w:t>
      </w:r>
      <w:r w:rsidR="0089151B">
        <w:rPr>
          <w:rFonts w:ascii="Arial" w:hAnsi="Arial" w:cs="Arial"/>
          <w:lang w:val="en-GB"/>
        </w:rPr>
        <w:t>[1</w:t>
      </w:r>
      <w:r w:rsidR="00F7443A">
        <w:rPr>
          <w:rFonts w:ascii="Arial" w:hAnsi="Arial" w:cs="Arial"/>
          <w:lang w:val="en-GB"/>
        </w:rPr>
        <w:t>1</w:t>
      </w:r>
      <w:r w:rsidR="0089151B">
        <w:rPr>
          <w:rFonts w:ascii="Arial" w:hAnsi="Arial" w:cs="Arial"/>
          <w:lang w:val="en-GB"/>
        </w:rPr>
        <w:t>, 1</w:t>
      </w:r>
      <w:r w:rsidR="00F7443A">
        <w:rPr>
          <w:rFonts w:ascii="Arial" w:hAnsi="Arial" w:cs="Arial"/>
          <w:lang w:val="en-GB"/>
        </w:rPr>
        <w:t>2</w:t>
      </w:r>
      <w:r w:rsidR="0089151B">
        <w:rPr>
          <w:rFonts w:ascii="Arial" w:hAnsi="Arial" w:cs="Arial"/>
          <w:lang w:val="en-GB"/>
        </w:rPr>
        <w:t>]</w:t>
      </w:r>
      <w:r w:rsidRPr="00207F77">
        <w:rPr>
          <w:rFonts w:ascii="Arial" w:hAnsi="Arial" w:cs="Arial"/>
          <w:lang w:val="en-GB"/>
        </w:rPr>
        <w:t xml:space="preserve">. </w:t>
      </w:r>
    </w:p>
    <w:p w14:paraId="6D145517" w14:textId="77777777" w:rsidR="005D157B" w:rsidRDefault="005D157B" w:rsidP="00207F77">
      <w:pPr>
        <w:jc w:val="both"/>
        <w:rPr>
          <w:rFonts w:ascii="Arial" w:hAnsi="Arial" w:cs="Arial"/>
          <w:lang w:val="en-GB"/>
        </w:rPr>
      </w:pPr>
    </w:p>
    <w:p w14:paraId="40115641" w14:textId="5CDB5D48" w:rsidR="00207F77" w:rsidRPr="00207F77" w:rsidRDefault="005D157B" w:rsidP="00207F77">
      <w:pPr>
        <w:jc w:val="both"/>
        <w:rPr>
          <w:rFonts w:ascii="Arial" w:hAnsi="Arial" w:cs="Arial"/>
          <w:lang w:val="en-GB"/>
        </w:rPr>
      </w:pPr>
      <w:r>
        <w:rPr>
          <w:rFonts w:ascii="Arial" w:hAnsi="Arial" w:cs="Arial"/>
          <w:lang w:val="en-GB"/>
        </w:rPr>
        <w:t xml:space="preserve">There are numerous reasons for this mixed success of </w:t>
      </w:r>
      <w:r w:rsidRPr="00207F77">
        <w:rPr>
          <w:rFonts w:ascii="Arial" w:hAnsi="Arial" w:cs="Arial"/>
          <w:lang w:val="en-GB"/>
        </w:rPr>
        <w:t>energy behaviour change programmes in complex non-domestic buildings</w:t>
      </w:r>
      <w:r>
        <w:rPr>
          <w:rFonts w:ascii="Arial" w:hAnsi="Arial" w:cs="Arial"/>
          <w:lang w:val="en-GB"/>
        </w:rPr>
        <w:t xml:space="preserve">, which have been reviewed elsewhere (see for example </w:t>
      </w:r>
      <w:r w:rsidR="00F5612D">
        <w:rPr>
          <w:rFonts w:ascii="Arial" w:hAnsi="Arial" w:cs="Arial"/>
          <w:lang w:val="en-GB"/>
        </w:rPr>
        <w:t>[1</w:t>
      </w:r>
      <w:r w:rsidR="00F7443A">
        <w:rPr>
          <w:rFonts w:ascii="Arial" w:hAnsi="Arial" w:cs="Arial"/>
          <w:lang w:val="en-GB"/>
        </w:rPr>
        <w:t>3, 14</w:t>
      </w:r>
      <w:r w:rsidR="00F5612D">
        <w:rPr>
          <w:rFonts w:ascii="Arial" w:hAnsi="Arial" w:cs="Arial"/>
          <w:lang w:val="en-GB"/>
        </w:rPr>
        <w:t>]</w:t>
      </w:r>
      <w:r>
        <w:rPr>
          <w:rFonts w:ascii="Arial" w:hAnsi="Arial" w:cs="Arial"/>
          <w:lang w:val="en-GB"/>
        </w:rPr>
        <w:t>). They include the design and implementation of the respective interventions, organi</w:t>
      </w:r>
      <w:r w:rsidR="00F5612D">
        <w:rPr>
          <w:rFonts w:ascii="Arial" w:hAnsi="Arial" w:cs="Arial"/>
          <w:lang w:val="en-GB"/>
        </w:rPr>
        <w:t xml:space="preserve">sational culture and hierarchical structures as well as environmental values of individual employees. </w:t>
      </w:r>
      <w:r w:rsidR="00F7443A" w:rsidRPr="00F7443A">
        <w:rPr>
          <w:rFonts w:ascii="Arial" w:hAnsi="Arial" w:cs="Arial"/>
          <w:lang w:val="en-GB"/>
        </w:rPr>
        <w:t xml:space="preserve">Reconciling differences between various behaviour change programs is further complicated by </w:t>
      </w:r>
      <w:r w:rsidR="00207F77" w:rsidRPr="00207F77">
        <w:rPr>
          <w:rFonts w:ascii="Arial" w:hAnsi="Arial" w:cs="Arial"/>
          <w:lang w:val="en-GB"/>
        </w:rPr>
        <w:t xml:space="preserve">the absence of a clear framework that facilitates the </w:t>
      </w:r>
      <w:r w:rsidR="00F5612D">
        <w:rPr>
          <w:rFonts w:ascii="Arial" w:hAnsi="Arial" w:cs="Arial"/>
          <w:lang w:val="en-GB"/>
        </w:rPr>
        <w:t>building-specific evaluation of staff-centred energy conservation initiatives</w:t>
      </w:r>
      <w:r w:rsidR="0089151B">
        <w:rPr>
          <w:rFonts w:ascii="Arial" w:hAnsi="Arial" w:cs="Arial"/>
          <w:lang w:val="en-GB"/>
        </w:rPr>
        <w:t xml:space="preserve"> [1</w:t>
      </w:r>
      <w:r w:rsidR="0056456A">
        <w:rPr>
          <w:rFonts w:ascii="Arial" w:hAnsi="Arial" w:cs="Arial"/>
          <w:lang w:val="en-GB"/>
        </w:rPr>
        <w:t>4</w:t>
      </w:r>
      <w:r w:rsidR="0089151B">
        <w:rPr>
          <w:rFonts w:ascii="Arial" w:hAnsi="Arial" w:cs="Arial"/>
          <w:lang w:val="en-GB"/>
        </w:rPr>
        <w:t>]</w:t>
      </w:r>
      <w:r w:rsidR="00F5612D">
        <w:rPr>
          <w:rFonts w:ascii="Arial" w:hAnsi="Arial" w:cs="Arial"/>
          <w:lang w:val="en-GB"/>
        </w:rPr>
        <w:t xml:space="preserve">. </w:t>
      </w:r>
    </w:p>
    <w:p w14:paraId="7426E20A" w14:textId="77777777" w:rsidR="00207F77" w:rsidRPr="00207F77" w:rsidRDefault="00207F77" w:rsidP="00207F77">
      <w:pPr>
        <w:jc w:val="both"/>
        <w:rPr>
          <w:rFonts w:ascii="Arial" w:hAnsi="Arial" w:cs="Arial"/>
          <w:lang w:val="en-GB"/>
        </w:rPr>
      </w:pPr>
    </w:p>
    <w:p w14:paraId="12BA7F17" w14:textId="0065FEA4" w:rsidR="00F5612D" w:rsidRDefault="00207F77" w:rsidP="00207F77">
      <w:pPr>
        <w:jc w:val="both"/>
        <w:rPr>
          <w:rFonts w:ascii="Arial" w:hAnsi="Arial" w:cs="Arial"/>
          <w:lang w:val="en-GB"/>
        </w:rPr>
      </w:pPr>
      <w:r w:rsidRPr="00207F77">
        <w:rPr>
          <w:rFonts w:ascii="Arial" w:hAnsi="Arial" w:cs="Arial"/>
          <w:lang w:val="en-GB"/>
        </w:rPr>
        <w:t xml:space="preserve">So far, the </w:t>
      </w:r>
      <w:r w:rsidR="00F5612D">
        <w:rPr>
          <w:rFonts w:ascii="Arial" w:hAnsi="Arial" w:cs="Arial"/>
          <w:lang w:val="en-GB"/>
        </w:rPr>
        <w:t xml:space="preserve">primary </w:t>
      </w:r>
      <w:r w:rsidRPr="00207F77">
        <w:rPr>
          <w:rFonts w:ascii="Arial" w:hAnsi="Arial" w:cs="Arial"/>
          <w:lang w:val="en-GB"/>
        </w:rPr>
        <w:t xml:space="preserve">evaluation of behavioural initiatives in complex non-domestic buildings </w:t>
      </w:r>
      <w:r w:rsidR="0056456A">
        <w:rPr>
          <w:rFonts w:ascii="Arial" w:hAnsi="Arial" w:cs="Arial"/>
          <w:lang w:val="en-GB"/>
        </w:rPr>
        <w:lastRenderedPageBreak/>
        <w:t>seems to</w:t>
      </w:r>
      <w:r w:rsidRPr="00207F77">
        <w:rPr>
          <w:rFonts w:ascii="Arial" w:hAnsi="Arial" w:cs="Arial"/>
          <w:lang w:val="en-GB"/>
        </w:rPr>
        <w:t xml:space="preserve"> mostly </w:t>
      </w:r>
      <w:r w:rsidR="0056456A">
        <w:rPr>
          <w:rFonts w:ascii="Arial" w:hAnsi="Arial" w:cs="Arial"/>
          <w:lang w:val="en-GB"/>
        </w:rPr>
        <w:t xml:space="preserve">have </w:t>
      </w:r>
      <w:r w:rsidRPr="00207F77">
        <w:rPr>
          <w:rFonts w:ascii="Arial" w:hAnsi="Arial" w:cs="Arial"/>
          <w:lang w:val="en-GB"/>
        </w:rPr>
        <w:t>been attempted using quasi-experimental strategies based on interrupted time-series of energy data. Such approaches are known to be problematic for gradual rather than abrupt interventions and those where effects might be delayed</w:t>
      </w:r>
      <w:r w:rsidR="009A19B1">
        <w:rPr>
          <w:rFonts w:ascii="Arial" w:hAnsi="Arial" w:cs="Arial"/>
          <w:lang w:val="en-GB"/>
        </w:rPr>
        <w:t xml:space="preserve"> </w:t>
      </w:r>
      <w:r w:rsidR="00F5612D">
        <w:rPr>
          <w:rFonts w:ascii="Arial" w:hAnsi="Arial" w:cs="Arial"/>
          <w:lang w:val="en-GB"/>
        </w:rPr>
        <w:t>[1</w:t>
      </w:r>
      <w:r w:rsidR="0056456A">
        <w:rPr>
          <w:rFonts w:ascii="Arial" w:hAnsi="Arial" w:cs="Arial"/>
          <w:lang w:val="en-GB"/>
        </w:rPr>
        <w:t>5</w:t>
      </w:r>
      <w:r w:rsidR="00F5612D">
        <w:rPr>
          <w:rFonts w:ascii="Arial" w:hAnsi="Arial" w:cs="Arial"/>
          <w:lang w:val="en-GB"/>
        </w:rPr>
        <w:t>]</w:t>
      </w:r>
      <w:r w:rsidRPr="00207F77">
        <w:rPr>
          <w:rFonts w:ascii="Arial" w:hAnsi="Arial" w:cs="Arial"/>
          <w:lang w:val="en-GB"/>
        </w:rPr>
        <w:t xml:space="preserve">. In the non-domestic context, evaluative attempts are further aggravated by the complexity of building energy use whose baseline is </w:t>
      </w:r>
      <w:r w:rsidR="006722DB">
        <w:rPr>
          <w:rFonts w:ascii="Arial" w:hAnsi="Arial" w:cs="Arial"/>
          <w:lang w:val="en-GB"/>
        </w:rPr>
        <w:t xml:space="preserve">often poorly understood </w:t>
      </w:r>
      <w:r w:rsidRPr="00207F77">
        <w:rPr>
          <w:rFonts w:ascii="Arial" w:hAnsi="Arial" w:cs="Arial"/>
          <w:lang w:val="en-GB"/>
        </w:rPr>
        <w:t>due to the variety of organisational processes and the</w:t>
      </w:r>
      <w:r w:rsidR="006722DB">
        <w:rPr>
          <w:rFonts w:ascii="Arial" w:hAnsi="Arial" w:cs="Arial"/>
          <w:lang w:val="en-GB"/>
        </w:rPr>
        <w:t xml:space="preserve"> prevalent lack of sub-metering. It also needs to be noted that direct changes in energy use can only be one outcome of any initiative addressing occupants and their behaviour. Non-energy effects, both positive such as increased comfort, ownership or productivity and negative e.g. confusion and sense of overload, </w:t>
      </w:r>
      <w:r w:rsidR="00E70869">
        <w:rPr>
          <w:rFonts w:ascii="Arial" w:hAnsi="Arial" w:cs="Arial"/>
          <w:lang w:val="en-GB"/>
        </w:rPr>
        <w:t>need to be taken into a count for a holistic cost-benefit analysis</w:t>
      </w:r>
      <w:r w:rsidR="0056456A">
        <w:rPr>
          <w:rFonts w:ascii="Arial" w:hAnsi="Arial" w:cs="Arial"/>
          <w:lang w:val="en-GB"/>
        </w:rPr>
        <w:t xml:space="preserve"> [16]</w:t>
      </w:r>
      <w:r w:rsidR="006722DB">
        <w:rPr>
          <w:rFonts w:ascii="Arial" w:hAnsi="Arial" w:cs="Arial"/>
          <w:lang w:val="en-GB"/>
        </w:rPr>
        <w:t xml:space="preserve">. </w:t>
      </w:r>
    </w:p>
    <w:p w14:paraId="17AA46BC" w14:textId="77777777" w:rsidR="006722DB" w:rsidRDefault="006722DB" w:rsidP="00207F77">
      <w:pPr>
        <w:jc w:val="both"/>
        <w:rPr>
          <w:rFonts w:ascii="Arial" w:hAnsi="Arial" w:cs="Arial"/>
          <w:lang w:val="en-GB"/>
        </w:rPr>
      </w:pPr>
    </w:p>
    <w:p w14:paraId="7A6868AB" w14:textId="77777777" w:rsidR="00B900C1" w:rsidRDefault="00EF28C1" w:rsidP="00207F77">
      <w:pPr>
        <w:pStyle w:val="Heading1"/>
        <w:jc w:val="both"/>
        <w:rPr>
          <w:rFonts w:ascii="Arial" w:hAnsi="Arial"/>
          <w:lang w:val="en-GB"/>
        </w:rPr>
      </w:pPr>
      <w:r>
        <w:rPr>
          <w:rFonts w:ascii="Arial" w:hAnsi="Arial"/>
          <w:lang w:val="en-GB"/>
        </w:rPr>
        <w:t>Approach</w:t>
      </w:r>
    </w:p>
    <w:p w14:paraId="1284682D" w14:textId="77777777" w:rsidR="00EF28C1" w:rsidRPr="00207F77" w:rsidRDefault="00EF28C1" w:rsidP="00EF28C1">
      <w:pPr>
        <w:pStyle w:val="Heading2"/>
        <w:jc w:val="both"/>
        <w:rPr>
          <w:rFonts w:ascii="Arial" w:hAnsi="Arial"/>
          <w:lang w:val="en-GB"/>
        </w:rPr>
      </w:pPr>
      <w:r>
        <w:rPr>
          <w:rFonts w:ascii="Arial" w:hAnsi="Arial"/>
          <w:lang w:val="en-GB"/>
        </w:rPr>
        <w:t>Research aim</w:t>
      </w:r>
    </w:p>
    <w:p w14:paraId="7C9D4A28" w14:textId="7119DC74" w:rsidR="00B0642C" w:rsidRDefault="00015BE3" w:rsidP="007B7D67">
      <w:pPr>
        <w:jc w:val="both"/>
        <w:rPr>
          <w:rFonts w:ascii="Arial" w:hAnsi="Arial" w:cs="Arial"/>
          <w:lang w:val="en-GB"/>
        </w:rPr>
      </w:pPr>
      <w:r w:rsidRPr="00015BE3">
        <w:rPr>
          <w:rFonts w:ascii="Arial" w:hAnsi="Arial" w:cs="Arial"/>
          <w:lang w:val="en-GB"/>
        </w:rPr>
        <w:t>This paper aims to investigate the evaluation of an energy awareness cam</w:t>
      </w:r>
      <w:r w:rsidR="00E70869">
        <w:rPr>
          <w:rFonts w:ascii="Arial" w:hAnsi="Arial" w:cs="Arial"/>
          <w:lang w:val="en-GB"/>
        </w:rPr>
        <w:t xml:space="preserve">paign at a large </w:t>
      </w:r>
      <w:r w:rsidR="00B0642C">
        <w:rPr>
          <w:rFonts w:ascii="Arial" w:hAnsi="Arial" w:cs="Arial"/>
          <w:lang w:val="en-GB"/>
        </w:rPr>
        <w:t xml:space="preserve">UK </w:t>
      </w:r>
      <w:r w:rsidR="00E70869">
        <w:rPr>
          <w:rFonts w:ascii="Arial" w:hAnsi="Arial" w:cs="Arial"/>
          <w:lang w:val="en-GB"/>
        </w:rPr>
        <w:t>acut</w:t>
      </w:r>
      <w:r w:rsidR="0089151B">
        <w:rPr>
          <w:rFonts w:ascii="Arial" w:hAnsi="Arial" w:cs="Arial"/>
          <w:lang w:val="en-GB"/>
        </w:rPr>
        <w:t xml:space="preserve">e hospital </w:t>
      </w:r>
      <w:r w:rsidR="0056456A">
        <w:rPr>
          <w:rFonts w:ascii="Arial" w:hAnsi="Arial" w:cs="Arial"/>
          <w:lang w:val="en-GB"/>
        </w:rPr>
        <w:t xml:space="preserve">(hereafter referred to as the hospital) </w:t>
      </w:r>
      <w:r w:rsidR="0089151B">
        <w:rPr>
          <w:rFonts w:ascii="Arial" w:hAnsi="Arial" w:cs="Arial"/>
          <w:lang w:val="en-GB"/>
        </w:rPr>
        <w:t xml:space="preserve">which was piloted </w:t>
      </w:r>
      <w:r w:rsidR="00B0642C">
        <w:rPr>
          <w:rFonts w:ascii="Arial" w:hAnsi="Arial" w:cs="Arial"/>
          <w:lang w:val="en-GB"/>
        </w:rPr>
        <w:t>in 2012/</w:t>
      </w:r>
      <w:r w:rsidR="00E70869">
        <w:rPr>
          <w:rFonts w:ascii="Arial" w:hAnsi="Arial" w:cs="Arial"/>
          <w:lang w:val="en-GB"/>
        </w:rPr>
        <w:t xml:space="preserve">2013. </w:t>
      </w:r>
      <w:r w:rsidR="007B7D67">
        <w:rPr>
          <w:rFonts w:ascii="Arial" w:hAnsi="Arial" w:cs="Arial"/>
          <w:lang w:val="en-GB"/>
        </w:rPr>
        <w:t>From Janua</w:t>
      </w:r>
      <w:r w:rsidR="00B0642C">
        <w:rPr>
          <w:rFonts w:ascii="Arial" w:hAnsi="Arial" w:cs="Arial"/>
          <w:lang w:val="en-GB"/>
        </w:rPr>
        <w:t>ry to May 2013, t</w:t>
      </w:r>
      <w:r w:rsidRPr="00015BE3">
        <w:rPr>
          <w:rFonts w:ascii="Arial" w:hAnsi="Arial" w:cs="Arial"/>
          <w:lang w:val="en-GB"/>
        </w:rPr>
        <w:t>he author</w:t>
      </w:r>
      <w:r w:rsidR="00EE10B1">
        <w:rPr>
          <w:rFonts w:ascii="Arial" w:hAnsi="Arial" w:cs="Arial"/>
          <w:lang w:val="en-GB"/>
        </w:rPr>
        <w:t>s</w:t>
      </w:r>
      <w:r w:rsidRPr="00015BE3">
        <w:rPr>
          <w:rFonts w:ascii="Arial" w:hAnsi="Arial" w:cs="Arial"/>
          <w:lang w:val="en-GB"/>
        </w:rPr>
        <w:t xml:space="preserve"> of this </w:t>
      </w:r>
      <w:r w:rsidR="00EE10B1">
        <w:rPr>
          <w:rFonts w:ascii="Arial" w:hAnsi="Arial" w:cs="Arial"/>
          <w:lang w:val="en-GB"/>
        </w:rPr>
        <w:t>paper</w:t>
      </w:r>
      <w:r w:rsidRPr="00015BE3">
        <w:rPr>
          <w:rFonts w:ascii="Arial" w:hAnsi="Arial" w:cs="Arial"/>
          <w:lang w:val="en-GB"/>
        </w:rPr>
        <w:t xml:space="preserve"> worked closely with</w:t>
      </w:r>
      <w:r w:rsidR="00E70869">
        <w:rPr>
          <w:rFonts w:ascii="Arial" w:hAnsi="Arial" w:cs="Arial"/>
          <w:lang w:val="en-GB"/>
        </w:rPr>
        <w:t xml:space="preserve"> </w:t>
      </w:r>
      <w:r w:rsidR="002841E3">
        <w:rPr>
          <w:rFonts w:ascii="Arial" w:hAnsi="Arial" w:cs="Arial"/>
          <w:lang w:val="en-GB"/>
        </w:rPr>
        <w:t>the respective NHS Trust and the implementing body in analysing the hospital’s electricity use over the course of the campaign.</w:t>
      </w:r>
      <w:r w:rsidR="00B0642C">
        <w:rPr>
          <w:rFonts w:ascii="Arial" w:hAnsi="Arial" w:cs="Arial"/>
          <w:lang w:val="en-GB"/>
        </w:rPr>
        <w:t xml:space="preserve"> </w:t>
      </w:r>
      <w:r w:rsidR="00B707B0">
        <w:rPr>
          <w:rFonts w:ascii="Arial" w:hAnsi="Arial" w:cs="Arial"/>
          <w:lang w:val="en-GB"/>
        </w:rPr>
        <w:t>In the respective hospital</w:t>
      </w:r>
      <w:r w:rsidR="00B0642C">
        <w:rPr>
          <w:rFonts w:ascii="Arial" w:hAnsi="Arial" w:cs="Arial"/>
          <w:lang w:val="en-GB"/>
        </w:rPr>
        <w:t xml:space="preserve"> building</w:t>
      </w:r>
      <w:r w:rsidR="00B707B0">
        <w:rPr>
          <w:rFonts w:ascii="Arial" w:hAnsi="Arial" w:cs="Arial"/>
          <w:lang w:val="en-GB"/>
        </w:rPr>
        <w:t>,</w:t>
      </w:r>
      <w:r w:rsidR="00EE10B1">
        <w:rPr>
          <w:rFonts w:ascii="Arial" w:hAnsi="Arial" w:cs="Arial"/>
          <w:lang w:val="en-GB"/>
        </w:rPr>
        <w:t xml:space="preserve"> small power and lighting use is sub-metered </w:t>
      </w:r>
      <w:r w:rsidR="00B0642C">
        <w:rPr>
          <w:rFonts w:ascii="Arial" w:hAnsi="Arial" w:cs="Arial"/>
          <w:lang w:val="en-GB"/>
        </w:rPr>
        <w:t xml:space="preserve">at departmental </w:t>
      </w:r>
      <w:r w:rsidR="00EE10B1">
        <w:rPr>
          <w:rFonts w:ascii="Arial" w:hAnsi="Arial" w:cs="Arial"/>
          <w:lang w:val="en-GB"/>
        </w:rPr>
        <w:t xml:space="preserve">level, which is outstanding compared to the </w:t>
      </w:r>
      <w:r w:rsidR="00B707B0">
        <w:rPr>
          <w:rFonts w:ascii="Arial" w:hAnsi="Arial" w:cs="Arial"/>
          <w:lang w:val="en-GB"/>
        </w:rPr>
        <w:t xml:space="preserve">vast </w:t>
      </w:r>
      <w:r w:rsidR="00EE10B1">
        <w:rPr>
          <w:rFonts w:ascii="Arial" w:hAnsi="Arial" w:cs="Arial"/>
          <w:lang w:val="en-GB"/>
        </w:rPr>
        <w:t xml:space="preserve">majority of </w:t>
      </w:r>
      <w:r w:rsidR="00B707B0">
        <w:rPr>
          <w:rFonts w:ascii="Arial" w:hAnsi="Arial" w:cs="Arial"/>
          <w:lang w:val="en-GB"/>
        </w:rPr>
        <w:t xml:space="preserve">NHS </w:t>
      </w:r>
      <w:r w:rsidR="00EE10B1">
        <w:rPr>
          <w:rFonts w:ascii="Arial" w:hAnsi="Arial" w:cs="Arial"/>
          <w:lang w:val="en-GB"/>
        </w:rPr>
        <w:t xml:space="preserve">hospitals </w:t>
      </w:r>
      <w:r w:rsidR="00B707B0">
        <w:rPr>
          <w:rFonts w:ascii="Arial" w:hAnsi="Arial" w:cs="Arial"/>
          <w:lang w:val="en-GB"/>
        </w:rPr>
        <w:t>which have electricity data available at buil</w:t>
      </w:r>
      <w:r w:rsidR="00B249E6">
        <w:rPr>
          <w:rFonts w:ascii="Arial" w:hAnsi="Arial" w:cs="Arial"/>
          <w:lang w:val="en-GB"/>
        </w:rPr>
        <w:t>ding or even site level only</w:t>
      </w:r>
      <w:r w:rsidR="00B707B0">
        <w:rPr>
          <w:rFonts w:ascii="Arial" w:hAnsi="Arial" w:cs="Arial"/>
          <w:lang w:val="en-GB"/>
        </w:rPr>
        <w:t xml:space="preserve">. The richness of the meter data </w:t>
      </w:r>
      <w:r w:rsidR="00EE10B1">
        <w:rPr>
          <w:rFonts w:ascii="Arial" w:hAnsi="Arial" w:cs="Arial"/>
          <w:lang w:val="en-GB"/>
        </w:rPr>
        <w:t>allowed for the detailed analysis of the electricity use for each hospital department</w:t>
      </w:r>
      <w:r w:rsidR="00B0642C">
        <w:rPr>
          <w:rFonts w:ascii="Arial" w:hAnsi="Arial" w:cs="Arial"/>
          <w:lang w:val="en-GB"/>
        </w:rPr>
        <w:t xml:space="preserve">. </w:t>
      </w:r>
    </w:p>
    <w:p w14:paraId="3932C922" w14:textId="77777777" w:rsidR="00B0642C" w:rsidRDefault="00B0642C" w:rsidP="007B7D67">
      <w:pPr>
        <w:jc w:val="both"/>
        <w:rPr>
          <w:rFonts w:ascii="Arial" w:hAnsi="Arial" w:cs="Arial"/>
          <w:lang w:val="en-GB"/>
        </w:rPr>
      </w:pPr>
    </w:p>
    <w:p w14:paraId="6C5AE6B4" w14:textId="77777777" w:rsidR="00B0642C" w:rsidRPr="00B0642C" w:rsidRDefault="00B0642C" w:rsidP="00B0642C">
      <w:pPr>
        <w:jc w:val="both"/>
        <w:rPr>
          <w:rFonts w:ascii="Arial" w:hAnsi="Arial" w:cs="Arial"/>
          <w:lang w:val="en-GB"/>
        </w:rPr>
      </w:pPr>
      <w:r>
        <w:rPr>
          <w:rFonts w:ascii="Arial" w:hAnsi="Arial" w:cs="Arial"/>
          <w:lang w:val="en-GB"/>
        </w:rPr>
        <w:t xml:space="preserve">The awareness campaign focussed </w:t>
      </w:r>
      <w:r w:rsidR="00B707B0">
        <w:rPr>
          <w:rFonts w:ascii="Arial" w:hAnsi="Arial" w:cs="Arial"/>
          <w:lang w:val="en-GB"/>
        </w:rPr>
        <w:t>on wards as 24 hour areas</w:t>
      </w:r>
      <w:r w:rsidR="00794FEB">
        <w:rPr>
          <w:rFonts w:ascii="Arial" w:hAnsi="Arial" w:cs="Arial"/>
          <w:lang w:val="en-GB"/>
        </w:rPr>
        <w:t>, but included some offices and clinical day areas</w:t>
      </w:r>
      <w:r w:rsidR="00B707B0">
        <w:rPr>
          <w:rFonts w:ascii="Arial" w:hAnsi="Arial" w:cs="Arial"/>
          <w:lang w:val="en-GB"/>
        </w:rPr>
        <w:t xml:space="preserve">. </w:t>
      </w:r>
      <w:r w:rsidRPr="00B0642C">
        <w:rPr>
          <w:rFonts w:ascii="Arial" w:hAnsi="Arial" w:cs="Arial"/>
          <w:lang w:val="en-GB"/>
        </w:rPr>
        <w:t xml:space="preserve">Rewards within small teams and improving patient experience were identified as central motivators </w:t>
      </w:r>
      <w:r>
        <w:rPr>
          <w:rFonts w:ascii="Arial" w:hAnsi="Arial" w:cs="Arial"/>
          <w:lang w:val="en-GB"/>
        </w:rPr>
        <w:t xml:space="preserve">for trust staff and consequently stressed in communicating </w:t>
      </w:r>
      <w:r w:rsidRPr="00B0642C">
        <w:rPr>
          <w:rFonts w:ascii="Arial" w:hAnsi="Arial" w:cs="Arial"/>
          <w:lang w:val="en-GB"/>
        </w:rPr>
        <w:t>the campaign</w:t>
      </w:r>
      <w:r w:rsidR="007B7D67">
        <w:rPr>
          <w:rFonts w:ascii="Arial" w:hAnsi="Arial" w:cs="Arial"/>
          <w:lang w:val="en-GB"/>
        </w:rPr>
        <w:t xml:space="preserve">. The roll-out </w:t>
      </w:r>
      <w:r w:rsidRPr="00B0642C">
        <w:rPr>
          <w:rFonts w:ascii="Arial" w:hAnsi="Arial" w:cs="Arial"/>
          <w:lang w:val="en-GB"/>
        </w:rPr>
        <w:t xml:space="preserve">primarily </w:t>
      </w:r>
      <w:r w:rsidR="007B7D67">
        <w:rPr>
          <w:rFonts w:ascii="Arial" w:hAnsi="Arial" w:cs="Arial"/>
          <w:lang w:val="en-GB"/>
        </w:rPr>
        <w:t xml:space="preserve">took place </w:t>
      </w:r>
      <w:r w:rsidRPr="00B0642C">
        <w:rPr>
          <w:rFonts w:ascii="Arial" w:hAnsi="Arial" w:cs="Arial"/>
          <w:lang w:val="en-GB"/>
        </w:rPr>
        <w:t>across three channels from December 2012 to March 2013:</w:t>
      </w:r>
    </w:p>
    <w:p w14:paraId="765180EC" w14:textId="77777777" w:rsidR="00B0642C" w:rsidRPr="00B0642C" w:rsidRDefault="00B0642C" w:rsidP="00B0642C">
      <w:pPr>
        <w:jc w:val="both"/>
        <w:rPr>
          <w:rFonts w:ascii="Arial" w:hAnsi="Arial" w:cs="Arial"/>
          <w:lang w:val="en-GB"/>
        </w:rPr>
      </w:pPr>
    </w:p>
    <w:p w14:paraId="2FCBCF8D" w14:textId="77777777" w:rsidR="00B0642C" w:rsidRPr="007B7D67" w:rsidRDefault="00B0642C" w:rsidP="007B7D67">
      <w:pPr>
        <w:pStyle w:val="ListParagraph"/>
        <w:numPr>
          <w:ilvl w:val="0"/>
          <w:numId w:val="19"/>
        </w:numPr>
        <w:jc w:val="both"/>
        <w:rPr>
          <w:rFonts w:ascii="Arial" w:hAnsi="Arial" w:cs="Arial"/>
          <w:lang w:val="en-GB"/>
        </w:rPr>
      </w:pPr>
      <w:r w:rsidRPr="007B7D67">
        <w:rPr>
          <w:rFonts w:ascii="Arial" w:hAnsi="Arial" w:cs="Arial"/>
          <w:lang w:val="en-GB"/>
        </w:rPr>
        <w:t>Energy Cham</w:t>
      </w:r>
      <w:r w:rsidR="007B7D67" w:rsidRPr="007B7D67">
        <w:rPr>
          <w:rFonts w:ascii="Arial" w:hAnsi="Arial" w:cs="Arial"/>
          <w:lang w:val="en-GB"/>
        </w:rPr>
        <w:t>pions were recruited on wards and</w:t>
      </w:r>
      <w:r w:rsidRPr="007B7D67">
        <w:rPr>
          <w:rFonts w:ascii="Arial" w:hAnsi="Arial" w:cs="Arial"/>
          <w:lang w:val="en-GB"/>
        </w:rPr>
        <w:t xml:space="preserve"> in administrative areas to engage colleagues and to encourage energy efficient behaviours. Ideally, they were volunteers with an already developed interest in energy efficiency/sustainability, but in their absence line manages were asked to simply appoint someone. </w:t>
      </w:r>
    </w:p>
    <w:p w14:paraId="38E62AC4" w14:textId="77777777" w:rsidR="00B0642C" w:rsidRPr="007B7D67" w:rsidRDefault="007B7D67" w:rsidP="007B7D67">
      <w:pPr>
        <w:pStyle w:val="ListParagraph"/>
        <w:numPr>
          <w:ilvl w:val="0"/>
          <w:numId w:val="19"/>
        </w:numPr>
        <w:jc w:val="both"/>
        <w:rPr>
          <w:rFonts w:ascii="Arial" w:hAnsi="Arial" w:cs="Arial"/>
          <w:lang w:val="en-GB"/>
        </w:rPr>
      </w:pPr>
      <w:r w:rsidRPr="007B7D67">
        <w:rPr>
          <w:rFonts w:ascii="Arial" w:hAnsi="Arial" w:cs="Arial"/>
          <w:lang w:val="en-GB"/>
        </w:rPr>
        <w:t>A</w:t>
      </w:r>
      <w:r w:rsidR="00B0642C" w:rsidRPr="007B7D67">
        <w:rPr>
          <w:rFonts w:ascii="Arial" w:hAnsi="Arial" w:cs="Arial"/>
          <w:lang w:val="en-GB"/>
        </w:rPr>
        <w:t xml:space="preserve"> ‘Sustainability Team’ performed regular ward rounds to prompt action, troubleshoot problems, share success stories and give out rewards (e.g. green goody bags or vouchers for tours to the hospital’s helipad) to champions and their teams.</w:t>
      </w:r>
    </w:p>
    <w:p w14:paraId="7103732C" w14:textId="4491E348" w:rsidR="00B707B0" w:rsidRPr="007B7D67" w:rsidRDefault="00B0642C" w:rsidP="007B7D67">
      <w:pPr>
        <w:pStyle w:val="ListParagraph"/>
        <w:numPr>
          <w:ilvl w:val="0"/>
          <w:numId w:val="19"/>
        </w:numPr>
        <w:jc w:val="both"/>
        <w:rPr>
          <w:rFonts w:ascii="Arial" w:hAnsi="Arial" w:cs="Arial"/>
          <w:lang w:val="en-GB"/>
        </w:rPr>
      </w:pPr>
      <w:r w:rsidRPr="007B7D67">
        <w:rPr>
          <w:rFonts w:ascii="Arial" w:hAnsi="Arial" w:cs="Arial"/>
          <w:lang w:val="en-GB"/>
        </w:rPr>
        <w:t xml:space="preserve">As it is widely acknowledged that senior support is crucial in promoting any pro-environmental behaviour in organisations </w:t>
      </w:r>
      <w:r w:rsidR="007B7D67" w:rsidRPr="007B7D67">
        <w:rPr>
          <w:rFonts w:ascii="Arial" w:hAnsi="Arial" w:cs="Arial"/>
          <w:lang w:val="en-GB"/>
        </w:rPr>
        <w:t>[see for example 1</w:t>
      </w:r>
      <w:r w:rsidR="0056456A">
        <w:rPr>
          <w:rFonts w:ascii="Arial" w:hAnsi="Arial" w:cs="Arial"/>
          <w:lang w:val="en-GB"/>
        </w:rPr>
        <w:t>4</w:t>
      </w:r>
      <w:r w:rsidR="007B7D67" w:rsidRPr="007B7D67">
        <w:rPr>
          <w:rFonts w:ascii="Arial" w:hAnsi="Arial" w:cs="Arial"/>
          <w:lang w:val="en-GB"/>
        </w:rPr>
        <w:t xml:space="preserve">], prominent campaign advocates </w:t>
      </w:r>
      <w:r w:rsidRPr="007B7D67">
        <w:rPr>
          <w:rFonts w:ascii="Arial" w:hAnsi="Arial" w:cs="Arial"/>
          <w:lang w:val="en-GB"/>
        </w:rPr>
        <w:t xml:space="preserve">within </w:t>
      </w:r>
      <w:r w:rsidR="007B7D67" w:rsidRPr="007B7D67">
        <w:rPr>
          <w:rFonts w:ascii="Arial" w:hAnsi="Arial" w:cs="Arial"/>
          <w:lang w:val="en-GB"/>
        </w:rPr>
        <w:t xml:space="preserve">the NHS Trust </w:t>
      </w:r>
      <w:r w:rsidRPr="007B7D67">
        <w:rPr>
          <w:rFonts w:ascii="Arial" w:hAnsi="Arial" w:cs="Arial"/>
          <w:lang w:val="en-GB"/>
        </w:rPr>
        <w:t xml:space="preserve">featured on screensavers and produced short videos showing them to engage in </w:t>
      </w:r>
      <w:r w:rsidR="007B7D67" w:rsidRPr="007B7D67">
        <w:rPr>
          <w:rFonts w:ascii="Arial" w:hAnsi="Arial" w:cs="Arial"/>
          <w:lang w:val="en-GB"/>
        </w:rPr>
        <w:t>the</w:t>
      </w:r>
      <w:r w:rsidRPr="007B7D67">
        <w:rPr>
          <w:rFonts w:ascii="Arial" w:hAnsi="Arial" w:cs="Arial"/>
          <w:lang w:val="en-GB"/>
        </w:rPr>
        <w:t xml:space="preserve"> </w:t>
      </w:r>
      <w:r w:rsidR="007B7D67" w:rsidRPr="007B7D67">
        <w:rPr>
          <w:rFonts w:ascii="Arial" w:hAnsi="Arial" w:cs="Arial"/>
          <w:lang w:val="en-GB"/>
        </w:rPr>
        <w:t xml:space="preserve">promoted </w:t>
      </w:r>
      <w:r w:rsidRPr="007B7D67">
        <w:rPr>
          <w:rFonts w:ascii="Arial" w:hAnsi="Arial" w:cs="Arial"/>
          <w:lang w:val="en-GB"/>
        </w:rPr>
        <w:t>ener</w:t>
      </w:r>
      <w:r w:rsidR="007B7D67" w:rsidRPr="007B7D67">
        <w:rPr>
          <w:rFonts w:ascii="Arial" w:hAnsi="Arial" w:cs="Arial"/>
          <w:lang w:val="en-GB"/>
        </w:rPr>
        <w:t>gy-efficient behaviours</w:t>
      </w:r>
      <w:r w:rsidRPr="007B7D67">
        <w:rPr>
          <w:rFonts w:ascii="Arial" w:hAnsi="Arial" w:cs="Arial"/>
          <w:lang w:val="en-GB"/>
        </w:rPr>
        <w:t>.</w:t>
      </w:r>
    </w:p>
    <w:p w14:paraId="2C665440" w14:textId="77777777" w:rsidR="00B707B0" w:rsidRDefault="00B707B0" w:rsidP="00015BE3">
      <w:pPr>
        <w:jc w:val="both"/>
        <w:rPr>
          <w:rFonts w:ascii="Arial" w:hAnsi="Arial" w:cs="Arial"/>
          <w:lang w:val="en-GB"/>
        </w:rPr>
      </w:pPr>
    </w:p>
    <w:p w14:paraId="6CBAD910" w14:textId="77777777" w:rsidR="00DA1CBC" w:rsidRDefault="002841E3" w:rsidP="00015BE3">
      <w:pPr>
        <w:jc w:val="both"/>
        <w:rPr>
          <w:rFonts w:ascii="Arial" w:hAnsi="Arial" w:cs="Arial"/>
          <w:lang w:val="en-GB"/>
        </w:rPr>
      </w:pPr>
      <w:r>
        <w:rPr>
          <w:rFonts w:ascii="Arial" w:hAnsi="Arial" w:cs="Arial"/>
          <w:lang w:val="en-GB"/>
        </w:rPr>
        <w:t xml:space="preserve">It was found that </w:t>
      </w:r>
      <w:r w:rsidR="00B707B0">
        <w:rPr>
          <w:rFonts w:ascii="Arial" w:hAnsi="Arial" w:cs="Arial"/>
          <w:lang w:val="en-GB"/>
        </w:rPr>
        <w:t>despite the high</w:t>
      </w:r>
      <w:r w:rsidR="00EE10B1">
        <w:rPr>
          <w:rFonts w:ascii="Arial" w:hAnsi="Arial" w:cs="Arial"/>
          <w:lang w:val="en-GB"/>
        </w:rPr>
        <w:t xml:space="preserve"> sub-metering levels</w:t>
      </w:r>
      <w:r w:rsidR="00015BE3" w:rsidRPr="00015BE3">
        <w:rPr>
          <w:rFonts w:ascii="Arial" w:hAnsi="Arial" w:cs="Arial"/>
          <w:lang w:val="en-GB"/>
        </w:rPr>
        <w:t xml:space="preserve">, the difficulties encountered in measuring and attributing changes in </w:t>
      </w:r>
      <w:r w:rsidR="00B707B0">
        <w:rPr>
          <w:rFonts w:ascii="Arial" w:hAnsi="Arial" w:cs="Arial"/>
          <w:lang w:val="en-GB"/>
        </w:rPr>
        <w:t>electricity</w:t>
      </w:r>
      <w:r w:rsidR="00015BE3" w:rsidRPr="00015BE3">
        <w:rPr>
          <w:rFonts w:ascii="Arial" w:hAnsi="Arial" w:cs="Arial"/>
          <w:lang w:val="en-GB"/>
        </w:rPr>
        <w:t xml:space="preserve"> use to the behavioural campaign were </w:t>
      </w:r>
      <w:r w:rsidR="00B707B0">
        <w:rPr>
          <w:rFonts w:ascii="Arial" w:hAnsi="Arial" w:cs="Arial"/>
          <w:lang w:val="en-GB"/>
        </w:rPr>
        <w:t>substantial</w:t>
      </w:r>
      <w:r w:rsidR="00015BE3" w:rsidRPr="00015BE3">
        <w:rPr>
          <w:rFonts w:ascii="Arial" w:hAnsi="Arial" w:cs="Arial"/>
          <w:lang w:val="en-GB"/>
        </w:rPr>
        <w:t xml:space="preserve"> due to the complexity of the underlying consumption profile from </w:t>
      </w:r>
      <w:r w:rsidR="00B707B0">
        <w:rPr>
          <w:rFonts w:ascii="Arial" w:hAnsi="Arial" w:cs="Arial"/>
          <w:lang w:val="en-GB"/>
        </w:rPr>
        <w:t>lighting</w:t>
      </w:r>
      <w:r w:rsidR="00015BE3" w:rsidRPr="00015BE3">
        <w:rPr>
          <w:rFonts w:ascii="Arial" w:hAnsi="Arial" w:cs="Arial"/>
          <w:lang w:val="en-GB"/>
        </w:rPr>
        <w:t xml:space="preserve"> and appliance use. Also, the engagement of occupants with the awareness campaign </w:t>
      </w:r>
      <w:r w:rsidR="00EE10B1">
        <w:rPr>
          <w:rFonts w:ascii="Arial" w:hAnsi="Arial" w:cs="Arial"/>
          <w:lang w:val="en-GB"/>
        </w:rPr>
        <w:t xml:space="preserve">varied </w:t>
      </w:r>
      <w:r w:rsidR="00EE10B1">
        <w:rPr>
          <w:rFonts w:ascii="Arial" w:hAnsi="Arial" w:cs="Arial"/>
          <w:lang w:val="en-GB"/>
        </w:rPr>
        <w:lastRenderedPageBreak/>
        <w:t>across the hospital</w:t>
      </w:r>
      <w:r w:rsidR="00015BE3" w:rsidRPr="00015BE3">
        <w:rPr>
          <w:rFonts w:ascii="Arial" w:hAnsi="Arial" w:cs="Arial"/>
          <w:lang w:val="en-GB"/>
        </w:rPr>
        <w:t xml:space="preserve"> and while some departments could achieve significant reductions in electricity use through switching off un-used lights and electrical equipment, in others the daily electricity consumption only changed marginally over the duration of the campaign.</w:t>
      </w:r>
      <w:r w:rsidR="00DA1CBC">
        <w:rPr>
          <w:rFonts w:ascii="Arial" w:hAnsi="Arial" w:cs="Arial"/>
          <w:lang w:val="en-GB"/>
        </w:rPr>
        <w:t xml:space="preserve"> </w:t>
      </w:r>
    </w:p>
    <w:p w14:paraId="57263565" w14:textId="77777777" w:rsidR="00DA1CBC" w:rsidRDefault="00DA1CBC" w:rsidP="00015BE3">
      <w:pPr>
        <w:jc w:val="both"/>
        <w:rPr>
          <w:rFonts w:ascii="Arial" w:hAnsi="Arial" w:cs="Arial"/>
          <w:lang w:val="en-GB"/>
        </w:rPr>
      </w:pPr>
    </w:p>
    <w:p w14:paraId="1CFD2119" w14:textId="77777777" w:rsidR="0056456A" w:rsidRPr="00207F77" w:rsidRDefault="0056456A" w:rsidP="0056456A">
      <w:pPr>
        <w:pStyle w:val="Heading2"/>
        <w:jc w:val="both"/>
        <w:rPr>
          <w:rFonts w:ascii="Arial" w:hAnsi="Arial"/>
          <w:lang w:val="en-GB"/>
        </w:rPr>
      </w:pPr>
      <w:r>
        <w:rPr>
          <w:rFonts w:ascii="Arial" w:hAnsi="Arial"/>
          <w:lang w:val="en-GB"/>
        </w:rPr>
        <w:t>Methods used</w:t>
      </w:r>
    </w:p>
    <w:p w14:paraId="14D0F823" w14:textId="1CC101EF" w:rsidR="00DD6AE6" w:rsidRDefault="0056456A" w:rsidP="00015BE3">
      <w:pPr>
        <w:jc w:val="both"/>
        <w:rPr>
          <w:rFonts w:ascii="Arial" w:hAnsi="Arial" w:cs="Arial"/>
          <w:lang w:val="en-GB"/>
        </w:rPr>
      </w:pPr>
      <w:r>
        <w:rPr>
          <w:rFonts w:ascii="Arial" w:hAnsi="Arial" w:cs="Arial"/>
          <w:lang w:val="en-GB"/>
        </w:rPr>
        <w:t xml:space="preserve">The above </w:t>
      </w:r>
      <w:r w:rsidR="00DD6AE6">
        <w:rPr>
          <w:rFonts w:ascii="Arial" w:hAnsi="Arial" w:cs="Arial"/>
          <w:lang w:val="en-GB"/>
        </w:rPr>
        <w:t>observations</w:t>
      </w:r>
      <w:r w:rsidR="00DA1CBC" w:rsidRPr="00DA1CBC">
        <w:rPr>
          <w:rFonts w:ascii="Arial" w:hAnsi="Arial" w:cs="Arial"/>
          <w:lang w:val="en-GB"/>
        </w:rPr>
        <w:t xml:space="preserve"> raise the immediate question to what extent </w:t>
      </w:r>
      <w:r w:rsidR="00006B24">
        <w:rPr>
          <w:rFonts w:ascii="Arial" w:hAnsi="Arial" w:cs="Arial"/>
          <w:lang w:val="en-GB"/>
        </w:rPr>
        <w:t xml:space="preserve">small </w:t>
      </w:r>
      <w:r w:rsidR="00DA1CBC">
        <w:rPr>
          <w:rFonts w:ascii="Arial" w:hAnsi="Arial" w:cs="Arial"/>
          <w:lang w:val="en-GB"/>
        </w:rPr>
        <w:t>effects of behaviour changes</w:t>
      </w:r>
      <w:r w:rsidR="00006B24">
        <w:rPr>
          <w:rFonts w:ascii="Arial" w:hAnsi="Arial" w:cs="Arial"/>
          <w:lang w:val="en-GB"/>
        </w:rPr>
        <w:t xml:space="preserve"> (</w:t>
      </w:r>
      <w:r w:rsidR="0089151B">
        <w:rPr>
          <w:rFonts w:ascii="Arial" w:hAnsi="Arial" w:cs="Arial"/>
          <w:lang w:val="en-GB"/>
        </w:rPr>
        <w:t>f</w:t>
      </w:r>
      <w:r w:rsidR="007B7D67">
        <w:rPr>
          <w:rFonts w:ascii="Arial" w:hAnsi="Arial" w:cs="Arial"/>
          <w:lang w:val="en-GB"/>
        </w:rPr>
        <w:t>or hospitals, the Carbon Trust expects</w:t>
      </w:r>
      <w:r w:rsidR="0089151B" w:rsidRPr="0089151B">
        <w:rPr>
          <w:rFonts w:ascii="Arial" w:hAnsi="Arial" w:cs="Arial"/>
          <w:lang w:val="en-GB"/>
        </w:rPr>
        <w:t xml:space="preserve"> reductions in total energy costs through</w:t>
      </w:r>
      <w:r w:rsidR="007B7D67">
        <w:rPr>
          <w:rFonts w:ascii="Arial" w:hAnsi="Arial" w:cs="Arial"/>
          <w:lang w:val="en-GB"/>
        </w:rPr>
        <w:t xml:space="preserve"> good housekeeping of 10% [1</w:t>
      </w:r>
      <w:r>
        <w:rPr>
          <w:rFonts w:ascii="Arial" w:hAnsi="Arial" w:cs="Arial"/>
          <w:lang w:val="en-GB"/>
        </w:rPr>
        <w:t>7</w:t>
      </w:r>
      <w:r w:rsidR="007B7D67">
        <w:rPr>
          <w:rFonts w:ascii="Arial" w:hAnsi="Arial" w:cs="Arial"/>
          <w:lang w:val="en-GB"/>
        </w:rPr>
        <w:t>]</w:t>
      </w:r>
      <w:r w:rsidR="00006B24">
        <w:rPr>
          <w:rFonts w:ascii="Arial" w:hAnsi="Arial" w:cs="Arial"/>
          <w:lang w:val="en-GB"/>
        </w:rPr>
        <w:t xml:space="preserve">) </w:t>
      </w:r>
      <w:r w:rsidR="00DA1CBC" w:rsidRPr="00DA1CBC">
        <w:rPr>
          <w:rFonts w:ascii="Arial" w:hAnsi="Arial" w:cs="Arial"/>
          <w:lang w:val="en-GB"/>
        </w:rPr>
        <w:t xml:space="preserve">can be detected through the analysis of energy consumption profiles in complex buildings given the daily variability in </w:t>
      </w:r>
      <w:r w:rsidR="00B707B0">
        <w:rPr>
          <w:rFonts w:ascii="Arial" w:hAnsi="Arial" w:cs="Arial"/>
          <w:lang w:val="en-GB"/>
        </w:rPr>
        <w:t>activities and</w:t>
      </w:r>
      <w:r w:rsidR="00EE10B1">
        <w:rPr>
          <w:rFonts w:ascii="Arial" w:hAnsi="Arial" w:cs="Arial"/>
          <w:lang w:val="en-GB"/>
        </w:rPr>
        <w:t xml:space="preserve"> resulting </w:t>
      </w:r>
      <w:r w:rsidR="00DA1CBC" w:rsidRPr="00DA1CBC">
        <w:rPr>
          <w:rFonts w:ascii="Arial" w:hAnsi="Arial" w:cs="Arial"/>
          <w:lang w:val="en-GB"/>
        </w:rPr>
        <w:t>energy use itself.</w:t>
      </w:r>
      <w:r w:rsidR="00B707B0">
        <w:rPr>
          <w:rFonts w:ascii="Arial" w:hAnsi="Arial" w:cs="Arial"/>
          <w:lang w:val="en-GB"/>
        </w:rPr>
        <w:t xml:space="preserve"> </w:t>
      </w:r>
      <w:r w:rsidR="00006B24">
        <w:rPr>
          <w:rFonts w:ascii="Arial" w:hAnsi="Arial" w:cs="Arial"/>
          <w:lang w:val="en-GB"/>
        </w:rPr>
        <w:t xml:space="preserve">In a first </w:t>
      </w:r>
      <w:r w:rsidR="007B7D67">
        <w:rPr>
          <w:rFonts w:ascii="Arial" w:hAnsi="Arial" w:cs="Arial"/>
          <w:lang w:val="en-GB"/>
        </w:rPr>
        <w:t>instance, this question was</w:t>
      </w:r>
      <w:r w:rsidR="00006B24">
        <w:rPr>
          <w:rFonts w:ascii="Arial" w:hAnsi="Arial" w:cs="Arial"/>
          <w:lang w:val="en-GB"/>
        </w:rPr>
        <w:t xml:space="preserve"> investigated by analysing </w:t>
      </w:r>
      <w:r w:rsidR="00401B8C">
        <w:rPr>
          <w:rFonts w:ascii="Arial" w:hAnsi="Arial" w:cs="Arial"/>
          <w:lang w:val="en-GB"/>
        </w:rPr>
        <w:t xml:space="preserve">the </w:t>
      </w:r>
      <w:r w:rsidR="00006B24">
        <w:rPr>
          <w:rFonts w:ascii="Arial" w:hAnsi="Arial" w:cs="Arial"/>
          <w:lang w:val="en-GB"/>
        </w:rPr>
        <w:t>means and standard deviation</w:t>
      </w:r>
      <w:r w:rsidR="00401B8C">
        <w:rPr>
          <w:rFonts w:ascii="Arial" w:hAnsi="Arial" w:cs="Arial"/>
          <w:lang w:val="en-GB"/>
        </w:rPr>
        <w:t xml:space="preserve"> value</w:t>
      </w:r>
      <w:r w:rsidR="00006B24">
        <w:rPr>
          <w:rFonts w:ascii="Arial" w:hAnsi="Arial" w:cs="Arial"/>
          <w:lang w:val="en-GB"/>
        </w:rPr>
        <w:t xml:space="preserve">s of the daily electricity consumption [kWh/d] </w:t>
      </w:r>
      <w:r w:rsidR="00006B24" w:rsidRPr="00DA1CBC">
        <w:rPr>
          <w:rFonts w:ascii="Arial" w:hAnsi="Arial" w:cs="Arial"/>
          <w:lang w:val="en-GB"/>
        </w:rPr>
        <w:t>before and after the campaign</w:t>
      </w:r>
      <w:r w:rsidR="00DD6AE6">
        <w:rPr>
          <w:rFonts w:ascii="Arial" w:hAnsi="Arial" w:cs="Arial"/>
          <w:lang w:val="en-GB"/>
        </w:rPr>
        <w:t xml:space="preserve"> </w:t>
      </w:r>
      <w:r w:rsidR="00DD6AE6">
        <w:rPr>
          <w:rFonts w:ascii="Arial" w:hAnsi="Arial" w:cs="Arial"/>
          <w:lang w:val="en-GB"/>
        </w:rPr>
        <w:t>at the hospital</w:t>
      </w:r>
      <w:r w:rsidR="00006B24" w:rsidRPr="00DA1CBC">
        <w:rPr>
          <w:rFonts w:ascii="Arial" w:hAnsi="Arial" w:cs="Arial"/>
          <w:lang w:val="en-GB"/>
        </w:rPr>
        <w:t>.</w:t>
      </w:r>
      <w:r w:rsidR="00006B24">
        <w:rPr>
          <w:rFonts w:ascii="Arial" w:hAnsi="Arial" w:cs="Arial"/>
          <w:lang w:val="en-GB"/>
        </w:rPr>
        <w:t xml:space="preserve"> The availability of half-hourly electricity data also allowed for a more in depth analysis of changes in specific energy behaviours, such as reduced lighting use during afternoon down time on wards, but for the purpose of </w:t>
      </w:r>
      <w:r w:rsidR="0039581A">
        <w:rPr>
          <w:rFonts w:ascii="Arial" w:hAnsi="Arial" w:cs="Arial"/>
          <w:lang w:val="en-GB"/>
        </w:rPr>
        <w:t xml:space="preserve">this research question daily electricity use was found to be a useful metric. </w:t>
      </w:r>
    </w:p>
    <w:p w14:paraId="4333DA04" w14:textId="77777777" w:rsidR="00DD6AE6" w:rsidRDefault="00DD6AE6" w:rsidP="00015BE3">
      <w:pPr>
        <w:jc w:val="both"/>
        <w:rPr>
          <w:rFonts w:ascii="Arial" w:hAnsi="Arial" w:cs="Arial"/>
          <w:lang w:val="en-GB"/>
        </w:rPr>
      </w:pPr>
    </w:p>
    <w:p w14:paraId="79AFC007" w14:textId="2FCC144F" w:rsidR="00B707B0" w:rsidRDefault="00163F06" w:rsidP="00015BE3">
      <w:pPr>
        <w:jc w:val="both"/>
        <w:rPr>
          <w:rFonts w:ascii="Arial" w:hAnsi="Arial" w:cs="Arial"/>
          <w:lang w:val="en-GB"/>
        </w:rPr>
      </w:pPr>
      <w:r>
        <w:rPr>
          <w:rFonts w:ascii="Arial" w:hAnsi="Arial" w:cs="Arial"/>
          <w:lang w:val="en-GB"/>
        </w:rPr>
        <w:t>Three</w:t>
      </w:r>
      <w:r w:rsidR="0039581A">
        <w:rPr>
          <w:rFonts w:ascii="Arial" w:hAnsi="Arial" w:cs="Arial"/>
          <w:lang w:val="en-GB"/>
        </w:rPr>
        <w:t xml:space="preserve"> different </w:t>
      </w:r>
      <w:r w:rsidR="00A835C5">
        <w:rPr>
          <w:rFonts w:ascii="Arial" w:hAnsi="Arial" w:cs="Arial"/>
          <w:lang w:val="en-GB"/>
        </w:rPr>
        <w:t>criteria</w:t>
      </w:r>
      <w:r w:rsidR="0039581A">
        <w:rPr>
          <w:rFonts w:ascii="Arial" w:hAnsi="Arial" w:cs="Arial"/>
          <w:lang w:val="en-GB"/>
        </w:rPr>
        <w:t xml:space="preserve"> were used to determine whether changes in mean daily electricity use based on four weeks of pre and post campaign data respectively </w:t>
      </w:r>
      <w:r w:rsidR="00482DF5">
        <w:rPr>
          <w:rFonts w:ascii="Arial" w:hAnsi="Arial" w:cs="Arial"/>
          <w:lang w:val="en-GB"/>
        </w:rPr>
        <w:t xml:space="preserve">(normalized for seasonal differences in daylighting) </w:t>
      </w:r>
      <w:r w:rsidR="0039581A">
        <w:rPr>
          <w:rFonts w:ascii="Arial" w:hAnsi="Arial" w:cs="Arial"/>
          <w:lang w:val="en-GB"/>
        </w:rPr>
        <w:t xml:space="preserve">were </w:t>
      </w:r>
      <w:r w:rsidR="00A835C5">
        <w:rPr>
          <w:rFonts w:ascii="Arial" w:hAnsi="Arial" w:cs="Arial"/>
          <w:lang w:val="en-GB"/>
        </w:rPr>
        <w:t>statistically significant</w:t>
      </w:r>
      <w:r w:rsidR="0039581A">
        <w:rPr>
          <w:rFonts w:ascii="Arial" w:hAnsi="Arial" w:cs="Arial"/>
          <w:lang w:val="en-GB"/>
        </w:rPr>
        <w:t xml:space="preserve"> in each </w:t>
      </w:r>
      <w:r w:rsidR="00A835C5">
        <w:rPr>
          <w:rFonts w:ascii="Arial" w:hAnsi="Arial" w:cs="Arial"/>
          <w:lang w:val="en-GB"/>
        </w:rPr>
        <w:t xml:space="preserve">metered </w:t>
      </w:r>
      <w:r w:rsidR="00401B8C">
        <w:rPr>
          <w:rFonts w:ascii="Arial" w:hAnsi="Arial" w:cs="Arial"/>
          <w:lang w:val="en-GB"/>
        </w:rPr>
        <w:t xml:space="preserve">area: </w:t>
      </w:r>
    </w:p>
    <w:p w14:paraId="6666C181" w14:textId="77777777" w:rsidR="0039581A" w:rsidRDefault="0039581A" w:rsidP="00015BE3">
      <w:pPr>
        <w:jc w:val="both"/>
        <w:rPr>
          <w:rFonts w:ascii="Arial" w:hAnsi="Arial" w:cs="Arial"/>
          <w:lang w:val="en-GB"/>
        </w:rPr>
      </w:pPr>
    </w:p>
    <w:p w14:paraId="0F1A6089" w14:textId="742C7710" w:rsidR="0039581A" w:rsidRDefault="0086495E" w:rsidP="00A835C5">
      <w:pPr>
        <w:pStyle w:val="ListParagraph"/>
        <w:numPr>
          <w:ilvl w:val="0"/>
          <w:numId w:val="15"/>
        </w:numPr>
        <w:jc w:val="both"/>
        <w:rPr>
          <w:rFonts w:ascii="Arial" w:hAnsi="Arial" w:cs="Arial"/>
          <w:lang w:val="en-GB"/>
        </w:rPr>
      </w:pPr>
      <w:r w:rsidRPr="00A835C5">
        <w:rPr>
          <w:rFonts w:ascii="Arial" w:hAnsi="Arial" w:cs="Arial"/>
          <w:lang w:val="en-GB"/>
        </w:rPr>
        <w:t xml:space="preserve">According to the International Performance Measurement and </w:t>
      </w:r>
      <w:r w:rsidR="004E7BFD">
        <w:rPr>
          <w:rFonts w:ascii="Arial" w:hAnsi="Arial" w:cs="Arial"/>
          <w:lang w:val="en-GB"/>
        </w:rPr>
        <w:t>Verification Protocol (IPMVP)</w:t>
      </w:r>
      <w:r w:rsidR="00DD6AE6">
        <w:rPr>
          <w:rFonts w:ascii="Arial" w:hAnsi="Arial" w:cs="Arial"/>
          <w:lang w:val="en-GB"/>
        </w:rPr>
        <w:t xml:space="preserve"> which provides standards for </w:t>
      </w:r>
      <w:r w:rsidR="00A835C5" w:rsidRPr="00A835C5">
        <w:rPr>
          <w:rFonts w:ascii="Arial" w:hAnsi="Arial" w:cs="Arial"/>
          <w:lang w:val="en-GB"/>
        </w:rPr>
        <w:t xml:space="preserve">the evaluation of technical energy efficiency improvements, “Savings are deemed to be statistically valid if they are large relative to the statistical variations. </w:t>
      </w:r>
      <w:r w:rsidR="00A835C5">
        <w:rPr>
          <w:rFonts w:ascii="Arial" w:hAnsi="Arial" w:cs="Arial"/>
          <w:lang w:val="en-GB"/>
        </w:rPr>
        <w:t>S</w:t>
      </w:r>
      <w:r w:rsidR="00A835C5" w:rsidRPr="00A835C5">
        <w:rPr>
          <w:rFonts w:ascii="Arial" w:hAnsi="Arial" w:cs="Arial"/>
          <w:lang w:val="en-GB"/>
        </w:rPr>
        <w:t>pecifically, the savings need to be larger than twice the standard error</w:t>
      </w:r>
      <w:r w:rsidR="002352CD">
        <w:rPr>
          <w:rFonts w:ascii="Arial" w:hAnsi="Arial" w:cs="Arial"/>
          <w:lang w:val="en-GB"/>
        </w:rPr>
        <w:t xml:space="preserve"> (…)</w:t>
      </w:r>
      <w:r w:rsidR="00A835C5">
        <w:rPr>
          <w:rFonts w:ascii="Arial" w:hAnsi="Arial" w:cs="Arial"/>
          <w:lang w:val="en-GB"/>
        </w:rPr>
        <w:t xml:space="preserve"> </w:t>
      </w:r>
      <w:r w:rsidR="00A835C5" w:rsidRPr="00A835C5">
        <w:rPr>
          <w:rFonts w:ascii="Arial" w:hAnsi="Arial" w:cs="Arial"/>
          <w:lang w:val="en-GB"/>
        </w:rPr>
        <w:t>of the baseline value.</w:t>
      </w:r>
      <w:r w:rsidR="00A835C5">
        <w:rPr>
          <w:rFonts w:ascii="Arial" w:hAnsi="Arial" w:cs="Arial"/>
          <w:lang w:val="en-GB"/>
        </w:rPr>
        <w:t>”</w:t>
      </w:r>
      <w:r w:rsidR="004E7BFD">
        <w:rPr>
          <w:rFonts w:ascii="Arial" w:hAnsi="Arial" w:cs="Arial"/>
          <w:lang w:val="en-GB"/>
        </w:rPr>
        <w:t xml:space="preserve"> [1</w:t>
      </w:r>
      <w:r w:rsidR="00DD6AE6">
        <w:rPr>
          <w:rFonts w:ascii="Arial" w:hAnsi="Arial" w:cs="Arial"/>
          <w:lang w:val="en-GB"/>
        </w:rPr>
        <w:t>8</w:t>
      </w:r>
      <w:r w:rsidR="004E7BFD" w:rsidRPr="00A835C5">
        <w:rPr>
          <w:rFonts w:ascii="Arial" w:hAnsi="Arial" w:cs="Arial"/>
          <w:lang w:val="en-GB"/>
        </w:rPr>
        <w:t>, p.86</w:t>
      </w:r>
      <w:r w:rsidR="004E7BFD">
        <w:rPr>
          <w:rFonts w:ascii="Arial" w:hAnsi="Arial" w:cs="Arial"/>
          <w:lang w:val="en-GB"/>
        </w:rPr>
        <w:t>]</w:t>
      </w:r>
      <w:r w:rsidR="004E7BFD" w:rsidRPr="00A835C5">
        <w:rPr>
          <w:rFonts w:ascii="Arial" w:hAnsi="Arial" w:cs="Arial"/>
          <w:lang w:val="en-GB"/>
        </w:rPr>
        <w:t xml:space="preserve"> </w:t>
      </w:r>
      <w:r w:rsidR="004E7BFD">
        <w:rPr>
          <w:rFonts w:ascii="Arial" w:hAnsi="Arial" w:cs="Arial"/>
          <w:lang w:val="en-GB"/>
        </w:rPr>
        <w:t>Notably, similar rules will apply for statistically valid losses / increases in electricity uses which</w:t>
      </w:r>
      <w:r w:rsidR="00DE3714">
        <w:rPr>
          <w:rFonts w:ascii="Arial" w:hAnsi="Arial" w:cs="Arial"/>
          <w:lang w:val="en-GB"/>
        </w:rPr>
        <w:t>,</w:t>
      </w:r>
      <w:r w:rsidR="004E7BFD">
        <w:rPr>
          <w:rFonts w:ascii="Arial" w:hAnsi="Arial" w:cs="Arial"/>
          <w:lang w:val="en-GB"/>
        </w:rPr>
        <w:t xml:space="preserve"> </w:t>
      </w:r>
      <w:r w:rsidR="00DE3714">
        <w:rPr>
          <w:rFonts w:ascii="Arial" w:hAnsi="Arial" w:cs="Arial"/>
          <w:lang w:val="en-GB"/>
        </w:rPr>
        <w:t xml:space="preserve">although not desirable, </w:t>
      </w:r>
      <w:r w:rsidR="004E7BFD">
        <w:rPr>
          <w:rFonts w:ascii="Arial" w:hAnsi="Arial" w:cs="Arial"/>
          <w:lang w:val="en-GB"/>
        </w:rPr>
        <w:t xml:space="preserve">might occur for example due to procedural alterations. </w:t>
      </w:r>
    </w:p>
    <w:p w14:paraId="01F6261D" w14:textId="7F078AC7" w:rsidR="00D51B32" w:rsidRDefault="00D51B32" w:rsidP="00A835C5">
      <w:pPr>
        <w:pStyle w:val="ListParagraph"/>
        <w:numPr>
          <w:ilvl w:val="0"/>
          <w:numId w:val="15"/>
        </w:numPr>
        <w:jc w:val="both"/>
        <w:rPr>
          <w:rFonts w:ascii="Arial" w:hAnsi="Arial" w:cs="Arial"/>
          <w:lang w:val="en-GB"/>
        </w:rPr>
      </w:pPr>
      <w:r>
        <w:rPr>
          <w:rFonts w:ascii="Arial" w:hAnsi="Arial" w:cs="Arial"/>
          <w:lang w:val="en-GB"/>
        </w:rPr>
        <w:t xml:space="preserve">A more conservative approach will not only take into account statistical variations of the baseline value but also those during the post-intervention period. Changes are hence only regarded as statistically valid if they exceed twice the sum of the standard error of baseline and post-intervention value. This definition is equivalent to </w:t>
      </w:r>
      <w:r w:rsidR="00401B8C">
        <w:rPr>
          <w:rFonts w:ascii="Arial" w:hAnsi="Arial" w:cs="Arial"/>
          <w:lang w:val="en-GB"/>
        </w:rPr>
        <w:t>requiring</w:t>
      </w:r>
      <w:r>
        <w:rPr>
          <w:rFonts w:ascii="Arial" w:hAnsi="Arial" w:cs="Arial"/>
          <w:lang w:val="en-GB"/>
        </w:rPr>
        <w:t xml:space="preserve"> for non-overlapping 95% confidence intervals. </w:t>
      </w:r>
    </w:p>
    <w:p w14:paraId="5B20DECE" w14:textId="77777777" w:rsidR="004E7BFD" w:rsidRPr="0086495E" w:rsidRDefault="006446EA" w:rsidP="006446EA">
      <w:pPr>
        <w:pStyle w:val="ListParagraph"/>
        <w:numPr>
          <w:ilvl w:val="0"/>
          <w:numId w:val="15"/>
        </w:numPr>
        <w:jc w:val="both"/>
        <w:rPr>
          <w:rFonts w:ascii="Arial" w:hAnsi="Arial" w:cs="Arial"/>
          <w:lang w:val="en-GB"/>
        </w:rPr>
      </w:pPr>
      <w:r>
        <w:rPr>
          <w:rFonts w:ascii="Arial" w:hAnsi="Arial" w:cs="Arial"/>
          <w:lang w:val="en-GB"/>
        </w:rPr>
        <w:t>A repeated measures</w:t>
      </w:r>
      <w:r w:rsidR="00D51B32" w:rsidRPr="006446EA">
        <w:rPr>
          <w:rFonts w:ascii="Arial" w:hAnsi="Arial" w:cs="Arial"/>
          <w:lang w:val="en-GB"/>
        </w:rPr>
        <w:t xml:space="preserve"> t-test can also be used to determine whether the sets of electricity consumption data pre and post intervention </w:t>
      </w:r>
      <w:r>
        <w:rPr>
          <w:rFonts w:ascii="Arial" w:hAnsi="Arial" w:cs="Arial"/>
          <w:lang w:val="en-GB"/>
        </w:rPr>
        <w:t>differ</w:t>
      </w:r>
      <w:r w:rsidR="00D51B32" w:rsidRPr="006446EA">
        <w:rPr>
          <w:rFonts w:ascii="Arial" w:hAnsi="Arial" w:cs="Arial"/>
          <w:lang w:val="en-GB"/>
        </w:rPr>
        <w:t xml:space="preserve"> from each other at a given </w:t>
      </w:r>
      <w:r>
        <w:rPr>
          <w:rFonts w:ascii="Arial" w:hAnsi="Arial" w:cs="Arial"/>
          <w:lang w:val="en-GB"/>
        </w:rPr>
        <w:t xml:space="preserve">significance level, here 0.05. </w:t>
      </w:r>
    </w:p>
    <w:p w14:paraId="17106E7D" w14:textId="77777777" w:rsidR="0086495E" w:rsidRDefault="0086495E" w:rsidP="0086495E">
      <w:pPr>
        <w:jc w:val="both"/>
        <w:rPr>
          <w:rFonts w:ascii="Arial" w:hAnsi="Arial" w:cs="Arial"/>
          <w:lang w:val="en-GB"/>
        </w:rPr>
      </w:pPr>
    </w:p>
    <w:p w14:paraId="6C6B803B" w14:textId="77777777" w:rsidR="006446EA" w:rsidRDefault="006446EA" w:rsidP="0086495E">
      <w:pPr>
        <w:jc w:val="both"/>
        <w:rPr>
          <w:rFonts w:ascii="Arial" w:hAnsi="Arial" w:cs="Arial"/>
          <w:lang w:val="en-GB"/>
        </w:rPr>
      </w:pPr>
      <w:r>
        <w:rPr>
          <w:rFonts w:ascii="Arial" w:hAnsi="Arial" w:cs="Arial"/>
          <w:lang w:val="en-GB"/>
        </w:rPr>
        <w:t xml:space="preserve">For each </w:t>
      </w:r>
      <w:r w:rsidR="00401B8C">
        <w:rPr>
          <w:rFonts w:ascii="Arial" w:hAnsi="Arial" w:cs="Arial"/>
          <w:lang w:val="en-GB"/>
        </w:rPr>
        <w:t xml:space="preserve">of the above </w:t>
      </w:r>
      <w:r>
        <w:rPr>
          <w:rFonts w:ascii="Arial" w:hAnsi="Arial" w:cs="Arial"/>
          <w:lang w:val="en-GB"/>
        </w:rPr>
        <w:t>criteria, only departments which had seen statistically significant changes in electricity use between pre and post intervention periods where included in calculations of mean campaign effects.</w:t>
      </w:r>
      <w:r w:rsidR="00401B8C">
        <w:rPr>
          <w:rFonts w:ascii="Arial" w:hAnsi="Arial" w:cs="Arial"/>
          <w:lang w:val="en-GB"/>
        </w:rPr>
        <w:t xml:space="preserve"> The </w:t>
      </w:r>
      <w:r w:rsidR="00B36583">
        <w:rPr>
          <w:rFonts w:ascii="Arial" w:hAnsi="Arial" w:cs="Arial"/>
          <w:lang w:val="en-GB"/>
        </w:rPr>
        <w:t xml:space="preserve">applied </w:t>
      </w:r>
      <w:r w:rsidR="00401B8C">
        <w:rPr>
          <w:rFonts w:ascii="Arial" w:hAnsi="Arial" w:cs="Arial"/>
          <w:lang w:val="en-GB"/>
        </w:rPr>
        <w:t xml:space="preserve">criteria will hence be referred to as </w:t>
      </w:r>
      <w:r w:rsidR="00401B8C" w:rsidRPr="00401B8C">
        <w:rPr>
          <w:rFonts w:ascii="Arial" w:hAnsi="Arial" w:cs="Arial"/>
          <w:b/>
          <w:i/>
          <w:lang w:val="en-GB"/>
        </w:rPr>
        <w:t>inclusion criteria</w:t>
      </w:r>
      <w:r w:rsidR="00401B8C">
        <w:rPr>
          <w:rFonts w:ascii="Arial" w:hAnsi="Arial" w:cs="Arial"/>
          <w:lang w:val="en-GB"/>
        </w:rPr>
        <w:t>.</w:t>
      </w:r>
      <w:r>
        <w:rPr>
          <w:rFonts w:ascii="Arial" w:hAnsi="Arial" w:cs="Arial"/>
          <w:lang w:val="en-GB"/>
        </w:rPr>
        <w:t xml:space="preserve"> </w:t>
      </w:r>
      <w:r w:rsidR="00CE2ADB">
        <w:rPr>
          <w:rFonts w:ascii="Arial" w:hAnsi="Arial" w:cs="Arial"/>
          <w:lang w:val="en-GB"/>
        </w:rPr>
        <w:t xml:space="preserve">It should be noted that other drivers of energy use such as operational activity are not (yet) included in the presented analysis. </w:t>
      </w:r>
    </w:p>
    <w:p w14:paraId="73235AEE" w14:textId="77777777" w:rsidR="00B36583" w:rsidRDefault="00B36583" w:rsidP="0086495E">
      <w:pPr>
        <w:jc w:val="both"/>
        <w:rPr>
          <w:rFonts w:ascii="Arial" w:hAnsi="Arial" w:cs="Arial"/>
          <w:lang w:val="en-GB"/>
        </w:rPr>
      </w:pPr>
    </w:p>
    <w:p w14:paraId="2E645446" w14:textId="16267AA7" w:rsidR="00B36583" w:rsidRDefault="00B36583" w:rsidP="0086495E">
      <w:pPr>
        <w:jc w:val="both"/>
        <w:rPr>
          <w:rFonts w:ascii="Arial" w:hAnsi="Arial" w:cs="Arial"/>
          <w:lang w:val="en-GB"/>
        </w:rPr>
      </w:pPr>
      <w:r>
        <w:rPr>
          <w:rFonts w:ascii="Arial" w:hAnsi="Arial" w:cs="Arial"/>
          <w:lang w:val="en-GB"/>
        </w:rPr>
        <w:t xml:space="preserve">In addition to the analysis of electricity consumption data, the project team carried out observations of the energy behaviours targeted by the campaign. All involved departments/wards were visited both before </w:t>
      </w:r>
      <w:proofErr w:type="gramStart"/>
      <w:r>
        <w:rPr>
          <w:rFonts w:ascii="Arial" w:hAnsi="Arial" w:cs="Arial"/>
          <w:lang w:val="en-GB"/>
        </w:rPr>
        <w:t>campaign begin</w:t>
      </w:r>
      <w:proofErr w:type="gramEnd"/>
      <w:r>
        <w:rPr>
          <w:rFonts w:ascii="Arial" w:hAnsi="Arial" w:cs="Arial"/>
          <w:lang w:val="en-GB"/>
        </w:rPr>
        <w:t xml:space="preserve"> and after its completion; counting for example the numbers of lights left on in</w:t>
      </w:r>
      <w:r w:rsidR="002352CD">
        <w:rPr>
          <w:rFonts w:ascii="Arial" w:hAnsi="Arial" w:cs="Arial"/>
          <w:lang w:val="en-GB"/>
        </w:rPr>
        <w:t xml:space="preserve"> un</w:t>
      </w:r>
      <w:r>
        <w:rPr>
          <w:rFonts w:ascii="Arial" w:hAnsi="Arial" w:cs="Arial"/>
          <w:lang w:val="en-GB"/>
        </w:rPr>
        <w:t xml:space="preserve">occupied rooms.  </w:t>
      </w:r>
    </w:p>
    <w:p w14:paraId="5A01C5FD" w14:textId="77777777" w:rsidR="006446EA" w:rsidRDefault="006446EA" w:rsidP="006446EA">
      <w:pPr>
        <w:pStyle w:val="Heading1"/>
        <w:jc w:val="both"/>
        <w:rPr>
          <w:rFonts w:ascii="Arial" w:hAnsi="Arial"/>
          <w:lang w:val="en-GB"/>
        </w:rPr>
      </w:pPr>
      <w:r>
        <w:rPr>
          <w:rFonts w:ascii="Arial" w:hAnsi="Arial"/>
          <w:lang w:val="en-GB"/>
        </w:rPr>
        <w:lastRenderedPageBreak/>
        <w:t>Findings</w:t>
      </w:r>
    </w:p>
    <w:p w14:paraId="11155C78" w14:textId="202F2BA7" w:rsidR="000333DC" w:rsidRDefault="00DD6AE6" w:rsidP="00015BE3">
      <w:pPr>
        <w:jc w:val="both"/>
        <w:rPr>
          <w:rFonts w:ascii="Arial" w:hAnsi="Arial" w:cs="Arial"/>
          <w:lang w:val="en-GB"/>
        </w:rPr>
      </w:pPr>
      <w:r>
        <w:rPr>
          <w:rFonts w:ascii="Arial" w:hAnsi="Arial" w:cs="Arial"/>
          <w:lang w:val="en-GB"/>
        </w:rPr>
        <w:t>This project analysed the</w:t>
      </w:r>
      <w:r w:rsidR="000333DC">
        <w:rPr>
          <w:rFonts w:ascii="Arial" w:hAnsi="Arial" w:cs="Arial"/>
          <w:lang w:val="en-GB"/>
        </w:rPr>
        <w:t xml:space="preserve"> small power and lighting use of </w:t>
      </w:r>
      <w:r w:rsidR="00CE2ADB">
        <w:rPr>
          <w:rFonts w:ascii="Arial" w:hAnsi="Arial" w:cs="Arial"/>
          <w:lang w:val="en-GB"/>
        </w:rPr>
        <w:t xml:space="preserve">49 </w:t>
      </w:r>
      <w:r>
        <w:rPr>
          <w:rFonts w:ascii="Arial" w:hAnsi="Arial" w:cs="Arial"/>
          <w:lang w:val="en-GB"/>
        </w:rPr>
        <w:t xml:space="preserve">hospital </w:t>
      </w:r>
      <w:r w:rsidR="00CE2ADB">
        <w:rPr>
          <w:rFonts w:ascii="Arial" w:hAnsi="Arial" w:cs="Arial"/>
          <w:lang w:val="en-GB"/>
        </w:rPr>
        <w:t>departments,</w:t>
      </w:r>
      <w:r w:rsidR="000333DC">
        <w:rPr>
          <w:rFonts w:ascii="Arial" w:hAnsi="Arial" w:cs="Arial"/>
          <w:lang w:val="en-GB"/>
        </w:rPr>
        <w:t xml:space="preserve"> most of which wards</w:t>
      </w:r>
      <w:r>
        <w:rPr>
          <w:rFonts w:ascii="Arial" w:hAnsi="Arial" w:cs="Arial"/>
          <w:lang w:val="en-GB"/>
        </w:rPr>
        <w:t xml:space="preserve">. </w:t>
      </w:r>
      <w:r w:rsidR="000333DC">
        <w:rPr>
          <w:rFonts w:ascii="Arial" w:hAnsi="Arial" w:cs="Arial"/>
          <w:lang w:val="en-GB"/>
        </w:rPr>
        <w:t>Table 1 shows the number of areas where electricity use had changed significantly and the range of overall effect sizes depending on each inclusion criteria. Absolute effect sizes are not given to protect commercial interests</w:t>
      </w:r>
      <w:r>
        <w:rPr>
          <w:rFonts w:ascii="Arial" w:hAnsi="Arial" w:cs="Arial"/>
          <w:lang w:val="en-GB"/>
        </w:rPr>
        <w:t xml:space="preserve">. </w:t>
      </w:r>
      <w:r w:rsidR="00401B8C">
        <w:rPr>
          <w:rFonts w:ascii="Arial" w:hAnsi="Arial" w:cs="Arial"/>
          <w:lang w:val="en-GB"/>
        </w:rPr>
        <w:t xml:space="preserve"> </w:t>
      </w:r>
    </w:p>
    <w:p w14:paraId="7B892E19" w14:textId="77777777" w:rsidR="000333DC" w:rsidRDefault="000333DC" w:rsidP="00015BE3">
      <w:pPr>
        <w:jc w:val="both"/>
        <w:rPr>
          <w:rFonts w:ascii="Arial" w:hAnsi="Arial" w:cs="Arial"/>
          <w:lang w:val="en-GB"/>
        </w:rPr>
      </w:pPr>
    </w:p>
    <w:p w14:paraId="58BA725C" w14:textId="6E37A06A" w:rsidR="000333DC" w:rsidRPr="00207F77" w:rsidRDefault="000333DC" w:rsidP="000333D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lang w:val="en-GB"/>
        </w:rPr>
      </w:pPr>
      <w:r w:rsidRPr="00207F77">
        <w:rPr>
          <w:rFonts w:ascii="Arial" w:hAnsi="Arial" w:cs="Arial"/>
          <w:b/>
          <w:bCs/>
          <w:lang w:val="en-GB"/>
        </w:rPr>
        <w:t>Table 1.</w:t>
      </w:r>
      <w:r w:rsidRPr="00207F77">
        <w:rPr>
          <w:rFonts w:ascii="Arial" w:hAnsi="Arial" w:cs="Arial"/>
          <w:lang w:val="en-GB"/>
        </w:rPr>
        <w:t xml:space="preserve">  </w:t>
      </w:r>
      <w:r>
        <w:rPr>
          <w:rFonts w:ascii="Arial" w:hAnsi="Arial" w:cs="Arial"/>
          <w:lang w:val="en-GB"/>
        </w:rPr>
        <w:t>Comparison of intervention analysis approaches</w:t>
      </w:r>
      <w:r w:rsidR="00DD6AE6">
        <w:rPr>
          <w:rFonts w:ascii="Arial" w:hAnsi="Arial" w:cs="Arial"/>
          <w:lang w:val="en-GB"/>
        </w:rPr>
        <w:t xml:space="preserve"> (T</w:t>
      </w:r>
      <w:r w:rsidR="00DD6AE6">
        <w:rPr>
          <w:rFonts w:ascii="Arial" w:hAnsi="Arial" w:cs="Arial"/>
          <w:lang w:val="en-GB"/>
        </w:rPr>
        <w:t>he overall change in electricity use based on all metered campaign areas (Control) is denoted by X %.</w:t>
      </w:r>
      <w:r w:rsidR="00DD6AE6">
        <w:rPr>
          <w:rFonts w:ascii="Arial" w:hAnsi="Arial" w:cs="Arial"/>
          <w:lang w:val="en-GB"/>
        </w:rPr>
        <w:t>)</w:t>
      </w:r>
    </w:p>
    <w:p w14:paraId="03C2283D" w14:textId="77777777" w:rsidR="000333DC" w:rsidRPr="00207F77" w:rsidRDefault="000333DC" w:rsidP="000333D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3161"/>
        <w:gridCol w:w="2651"/>
        <w:gridCol w:w="2813"/>
      </w:tblGrid>
      <w:tr w:rsidR="004A4A9F" w:rsidRPr="00207F77" w14:paraId="757E1D37" w14:textId="77777777" w:rsidTr="004A4A9F">
        <w:trPr>
          <w:jc w:val="center"/>
        </w:trPr>
        <w:tc>
          <w:tcPr>
            <w:tcW w:w="3161" w:type="dxa"/>
            <w:tcBorders>
              <w:top w:val="single" w:sz="7" w:space="0" w:color="000000"/>
              <w:left w:val="single" w:sz="7" w:space="0" w:color="000000"/>
              <w:bottom w:val="single" w:sz="7" w:space="0" w:color="000000"/>
              <w:right w:val="single" w:sz="7" w:space="0" w:color="000000"/>
            </w:tcBorders>
          </w:tcPr>
          <w:p w14:paraId="4A8E6674" w14:textId="77777777" w:rsidR="004A4A9F" w:rsidRPr="00207F77" w:rsidRDefault="004A4A9F" w:rsidP="00F6695C">
            <w:pPr>
              <w:spacing w:line="120" w:lineRule="exact"/>
              <w:jc w:val="both"/>
              <w:rPr>
                <w:rFonts w:ascii="Arial" w:hAnsi="Arial" w:cs="Arial"/>
                <w:lang w:val="en-GB"/>
              </w:rPr>
            </w:pPr>
          </w:p>
          <w:p w14:paraId="53FD561E"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b/>
                <w:bCs/>
                <w:lang w:val="en-GB"/>
              </w:rPr>
            </w:pPr>
          </w:p>
        </w:tc>
        <w:tc>
          <w:tcPr>
            <w:tcW w:w="2651" w:type="dxa"/>
            <w:tcBorders>
              <w:top w:val="single" w:sz="7" w:space="0" w:color="000000"/>
              <w:left w:val="single" w:sz="7" w:space="0" w:color="000000"/>
              <w:bottom w:val="single" w:sz="7" w:space="0" w:color="000000"/>
              <w:right w:val="single" w:sz="7" w:space="0" w:color="000000"/>
            </w:tcBorders>
          </w:tcPr>
          <w:p w14:paraId="38DD9EE8" w14:textId="77777777" w:rsidR="004A4A9F" w:rsidRPr="00207F77" w:rsidRDefault="004A4A9F" w:rsidP="004A4A9F">
            <w:pPr>
              <w:spacing w:line="120" w:lineRule="exact"/>
              <w:rPr>
                <w:rFonts w:ascii="Arial" w:hAnsi="Arial" w:cs="Arial"/>
                <w:b/>
                <w:bCs/>
                <w:lang w:val="en-GB"/>
              </w:rPr>
            </w:pPr>
          </w:p>
          <w:p w14:paraId="2925F43D" w14:textId="3D69D9A2" w:rsidR="004A4A9F" w:rsidRPr="00207F77" w:rsidRDefault="004A4A9F" w:rsidP="004A4A9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rPr>
                <w:rFonts w:ascii="Arial" w:hAnsi="Arial" w:cs="Arial"/>
                <w:b/>
                <w:bCs/>
                <w:lang w:val="en-GB"/>
              </w:rPr>
            </w:pPr>
            <w:r>
              <w:rPr>
                <w:rFonts w:ascii="Arial" w:hAnsi="Arial" w:cs="Arial"/>
                <w:b/>
                <w:bCs/>
                <w:lang w:val="en-GB"/>
              </w:rPr>
              <w:t>Number of meter</w:t>
            </w:r>
            <w:r w:rsidR="00DD6AE6">
              <w:rPr>
                <w:rFonts w:ascii="Arial" w:hAnsi="Arial" w:cs="Arial"/>
                <w:b/>
                <w:bCs/>
                <w:lang w:val="en-GB"/>
              </w:rPr>
              <w:t>ed</w:t>
            </w:r>
            <w:r>
              <w:rPr>
                <w:rFonts w:ascii="Arial" w:hAnsi="Arial" w:cs="Arial"/>
                <w:b/>
                <w:bCs/>
                <w:lang w:val="en-GB"/>
              </w:rPr>
              <w:t xml:space="preserve"> areas meeting the inclusion criteria</w:t>
            </w:r>
          </w:p>
        </w:tc>
        <w:tc>
          <w:tcPr>
            <w:tcW w:w="2813" w:type="dxa"/>
            <w:tcBorders>
              <w:top w:val="single" w:sz="7" w:space="0" w:color="000000"/>
              <w:left w:val="single" w:sz="7" w:space="0" w:color="000000"/>
              <w:bottom w:val="single" w:sz="7" w:space="0" w:color="000000"/>
              <w:right w:val="single" w:sz="7" w:space="0" w:color="000000"/>
            </w:tcBorders>
          </w:tcPr>
          <w:p w14:paraId="3017865A" w14:textId="77777777" w:rsidR="004A4A9F" w:rsidRPr="00207F77" w:rsidRDefault="004A4A9F" w:rsidP="004A4A9F">
            <w:pPr>
              <w:spacing w:line="120" w:lineRule="exact"/>
              <w:rPr>
                <w:rFonts w:ascii="Arial" w:hAnsi="Arial" w:cs="Arial"/>
                <w:b/>
                <w:bCs/>
                <w:lang w:val="en-GB"/>
              </w:rPr>
            </w:pPr>
          </w:p>
          <w:p w14:paraId="1189FB65" w14:textId="77777777" w:rsidR="004A4A9F" w:rsidRPr="00207F77" w:rsidRDefault="00401B8C" w:rsidP="004A4A9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rPr>
                <w:rFonts w:ascii="Arial" w:hAnsi="Arial" w:cs="Arial"/>
                <w:b/>
                <w:bCs/>
                <w:lang w:val="en-GB"/>
              </w:rPr>
            </w:pPr>
            <w:r>
              <w:rPr>
                <w:rFonts w:ascii="Arial" w:hAnsi="Arial" w:cs="Arial"/>
                <w:b/>
                <w:bCs/>
                <w:lang w:val="en-GB"/>
              </w:rPr>
              <w:t>Overall campaign effect size</w:t>
            </w:r>
          </w:p>
        </w:tc>
      </w:tr>
      <w:tr w:rsidR="004A4A9F" w:rsidRPr="00207F77" w14:paraId="34F1248E" w14:textId="77777777" w:rsidTr="004A4A9F">
        <w:trPr>
          <w:jc w:val="center"/>
        </w:trPr>
        <w:tc>
          <w:tcPr>
            <w:tcW w:w="3161" w:type="dxa"/>
            <w:tcBorders>
              <w:top w:val="single" w:sz="7" w:space="0" w:color="000000"/>
              <w:left w:val="single" w:sz="7" w:space="0" w:color="000000"/>
              <w:bottom w:val="single" w:sz="7" w:space="0" w:color="000000"/>
              <w:right w:val="single" w:sz="7" w:space="0" w:color="000000"/>
            </w:tcBorders>
          </w:tcPr>
          <w:p w14:paraId="0233CAC9" w14:textId="77777777" w:rsidR="004A4A9F" w:rsidRPr="00207F77" w:rsidRDefault="004A4A9F" w:rsidP="00F6695C">
            <w:pPr>
              <w:spacing w:line="120" w:lineRule="exact"/>
              <w:jc w:val="both"/>
              <w:rPr>
                <w:rFonts w:ascii="Arial" w:hAnsi="Arial" w:cs="Arial"/>
                <w:b/>
                <w:bCs/>
                <w:lang w:val="en-GB"/>
              </w:rPr>
            </w:pPr>
          </w:p>
          <w:p w14:paraId="17F7219E"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Control: All metered areas</w:t>
            </w:r>
          </w:p>
        </w:tc>
        <w:tc>
          <w:tcPr>
            <w:tcW w:w="2651" w:type="dxa"/>
            <w:tcBorders>
              <w:top w:val="single" w:sz="7" w:space="0" w:color="000000"/>
              <w:left w:val="single" w:sz="7" w:space="0" w:color="000000"/>
              <w:bottom w:val="single" w:sz="7" w:space="0" w:color="000000"/>
              <w:right w:val="single" w:sz="7" w:space="0" w:color="000000"/>
            </w:tcBorders>
          </w:tcPr>
          <w:p w14:paraId="7ED15E66" w14:textId="77777777" w:rsidR="004A4A9F" w:rsidRPr="00207F77" w:rsidRDefault="004A4A9F" w:rsidP="00F6695C">
            <w:pPr>
              <w:spacing w:line="120" w:lineRule="exact"/>
              <w:jc w:val="both"/>
              <w:rPr>
                <w:rFonts w:ascii="Arial" w:hAnsi="Arial" w:cs="Arial"/>
                <w:lang w:val="en-GB"/>
              </w:rPr>
            </w:pPr>
          </w:p>
          <w:p w14:paraId="411F6225"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49</w:t>
            </w:r>
          </w:p>
        </w:tc>
        <w:tc>
          <w:tcPr>
            <w:tcW w:w="2813" w:type="dxa"/>
            <w:tcBorders>
              <w:top w:val="single" w:sz="7" w:space="0" w:color="000000"/>
              <w:left w:val="single" w:sz="7" w:space="0" w:color="000000"/>
              <w:bottom w:val="single" w:sz="7" w:space="0" w:color="000000"/>
              <w:right w:val="single" w:sz="7" w:space="0" w:color="000000"/>
            </w:tcBorders>
          </w:tcPr>
          <w:p w14:paraId="6C04FF47" w14:textId="77777777" w:rsidR="004A4A9F" w:rsidRPr="00207F77" w:rsidRDefault="004A4A9F" w:rsidP="00F6695C">
            <w:pPr>
              <w:spacing w:line="120" w:lineRule="exact"/>
              <w:jc w:val="both"/>
              <w:rPr>
                <w:rFonts w:ascii="Arial" w:hAnsi="Arial" w:cs="Arial"/>
                <w:lang w:val="en-GB"/>
              </w:rPr>
            </w:pPr>
          </w:p>
          <w:p w14:paraId="16C23ED5"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X</w:t>
            </w:r>
            <w:r w:rsidR="00401B8C">
              <w:rPr>
                <w:rFonts w:ascii="Arial" w:hAnsi="Arial" w:cs="Arial"/>
                <w:lang w:val="en-GB"/>
              </w:rPr>
              <w:t xml:space="preserve"> %</w:t>
            </w:r>
          </w:p>
        </w:tc>
      </w:tr>
      <w:tr w:rsidR="004A4A9F" w:rsidRPr="00207F77" w14:paraId="705914C0" w14:textId="77777777" w:rsidTr="00F6695C">
        <w:trPr>
          <w:jc w:val="center"/>
        </w:trPr>
        <w:tc>
          <w:tcPr>
            <w:tcW w:w="3161" w:type="dxa"/>
            <w:tcBorders>
              <w:top w:val="single" w:sz="7" w:space="0" w:color="000000"/>
              <w:left w:val="single" w:sz="7" w:space="0" w:color="000000"/>
              <w:bottom w:val="single" w:sz="7" w:space="0" w:color="000000"/>
              <w:right w:val="single" w:sz="7" w:space="0" w:color="000000"/>
            </w:tcBorders>
          </w:tcPr>
          <w:p w14:paraId="221437C0" w14:textId="77777777" w:rsidR="004A4A9F" w:rsidRPr="00207F77" w:rsidRDefault="004A4A9F" w:rsidP="00F6695C">
            <w:pPr>
              <w:spacing w:line="120" w:lineRule="exact"/>
              <w:jc w:val="both"/>
              <w:rPr>
                <w:rFonts w:ascii="Arial" w:hAnsi="Arial" w:cs="Arial"/>
                <w:lang w:val="en-GB"/>
              </w:rPr>
            </w:pPr>
          </w:p>
          <w:p w14:paraId="7CAB8442"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Inclusion criteria I</w:t>
            </w:r>
          </w:p>
        </w:tc>
        <w:tc>
          <w:tcPr>
            <w:tcW w:w="2651" w:type="dxa"/>
            <w:tcBorders>
              <w:top w:val="single" w:sz="7" w:space="0" w:color="000000"/>
              <w:left w:val="single" w:sz="7" w:space="0" w:color="000000"/>
              <w:bottom w:val="single" w:sz="7" w:space="0" w:color="000000"/>
              <w:right w:val="single" w:sz="7" w:space="0" w:color="000000"/>
            </w:tcBorders>
          </w:tcPr>
          <w:p w14:paraId="5AFDCB11" w14:textId="77777777" w:rsidR="004A4A9F" w:rsidRPr="00207F77" w:rsidRDefault="004A4A9F" w:rsidP="00F6695C">
            <w:pPr>
              <w:spacing w:line="120" w:lineRule="exact"/>
              <w:jc w:val="both"/>
              <w:rPr>
                <w:rFonts w:ascii="Arial" w:hAnsi="Arial" w:cs="Arial"/>
                <w:lang w:val="en-GB"/>
              </w:rPr>
            </w:pPr>
          </w:p>
          <w:p w14:paraId="55642504"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35</w:t>
            </w:r>
          </w:p>
        </w:tc>
        <w:tc>
          <w:tcPr>
            <w:tcW w:w="2813" w:type="dxa"/>
            <w:tcBorders>
              <w:top w:val="single" w:sz="7" w:space="0" w:color="000000"/>
              <w:left w:val="single" w:sz="7" w:space="0" w:color="000000"/>
              <w:bottom w:val="single" w:sz="7" w:space="0" w:color="000000"/>
              <w:right w:val="single" w:sz="7" w:space="0" w:color="000000"/>
            </w:tcBorders>
          </w:tcPr>
          <w:p w14:paraId="7DECDC1F" w14:textId="77777777" w:rsidR="004A4A9F" w:rsidRPr="00207F77" w:rsidRDefault="004A4A9F" w:rsidP="00F6695C">
            <w:pPr>
              <w:spacing w:line="120" w:lineRule="exact"/>
              <w:jc w:val="both"/>
              <w:rPr>
                <w:rFonts w:ascii="Arial" w:hAnsi="Arial" w:cs="Arial"/>
                <w:lang w:val="en-GB"/>
              </w:rPr>
            </w:pPr>
          </w:p>
          <w:p w14:paraId="02C59105"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1.3*X</w:t>
            </w:r>
            <w:r w:rsidR="00401B8C">
              <w:rPr>
                <w:rFonts w:ascii="Arial" w:hAnsi="Arial" w:cs="Arial"/>
                <w:lang w:val="en-GB"/>
              </w:rPr>
              <w:t>%</w:t>
            </w:r>
          </w:p>
        </w:tc>
      </w:tr>
      <w:tr w:rsidR="004A4A9F" w:rsidRPr="00207F77" w14:paraId="2E517196" w14:textId="77777777" w:rsidTr="00F6695C">
        <w:trPr>
          <w:jc w:val="center"/>
        </w:trPr>
        <w:tc>
          <w:tcPr>
            <w:tcW w:w="3161" w:type="dxa"/>
            <w:tcBorders>
              <w:top w:val="single" w:sz="7" w:space="0" w:color="000000"/>
              <w:left w:val="single" w:sz="7" w:space="0" w:color="000000"/>
              <w:bottom w:val="single" w:sz="7" w:space="0" w:color="000000"/>
              <w:right w:val="single" w:sz="7" w:space="0" w:color="000000"/>
            </w:tcBorders>
          </w:tcPr>
          <w:p w14:paraId="247E02D7" w14:textId="77777777" w:rsidR="004A4A9F" w:rsidRPr="00207F77" w:rsidRDefault="004A4A9F" w:rsidP="00F6695C">
            <w:pPr>
              <w:spacing w:line="120" w:lineRule="exact"/>
              <w:jc w:val="both"/>
              <w:rPr>
                <w:rFonts w:ascii="Arial" w:hAnsi="Arial" w:cs="Arial"/>
                <w:lang w:val="en-GB"/>
              </w:rPr>
            </w:pPr>
          </w:p>
          <w:p w14:paraId="113FAAAE"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Inclusion criteria II</w:t>
            </w:r>
          </w:p>
        </w:tc>
        <w:tc>
          <w:tcPr>
            <w:tcW w:w="2651" w:type="dxa"/>
            <w:tcBorders>
              <w:top w:val="single" w:sz="7" w:space="0" w:color="000000"/>
              <w:left w:val="single" w:sz="7" w:space="0" w:color="000000"/>
              <w:bottom w:val="single" w:sz="7" w:space="0" w:color="000000"/>
              <w:right w:val="single" w:sz="7" w:space="0" w:color="000000"/>
            </w:tcBorders>
          </w:tcPr>
          <w:p w14:paraId="52838E01" w14:textId="77777777" w:rsidR="004A4A9F" w:rsidRPr="00207F77" w:rsidRDefault="004A4A9F" w:rsidP="00F6695C">
            <w:pPr>
              <w:spacing w:line="120" w:lineRule="exact"/>
              <w:jc w:val="both"/>
              <w:rPr>
                <w:rFonts w:ascii="Arial" w:hAnsi="Arial" w:cs="Arial"/>
                <w:lang w:val="en-GB"/>
              </w:rPr>
            </w:pPr>
          </w:p>
          <w:p w14:paraId="1BEBB06E"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18</w:t>
            </w:r>
          </w:p>
        </w:tc>
        <w:tc>
          <w:tcPr>
            <w:tcW w:w="2813" w:type="dxa"/>
            <w:tcBorders>
              <w:top w:val="single" w:sz="7" w:space="0" w:color="000000"/>
              <w:left w:val="single" w:sz="7" w:space="0" w:color="000000"/>
              <w:bottom w:val="single" w:sz="7" w:space="0" w:color="000000"/>
              <w:right w:val="single" w:sz="7" w:space="0" w:color="000000"/>
            </w:tcBorders>
          </w:tcPr>
          <w:p w14:paraId="3BDC2D4D" w14:textId="77777777" w:rsidR="004A4A9F" w:rsidRPr="00207F77" w:rsidRDefault="004A4A9F" w:rsidP="00F6695C">
            <w:pPr>
              <w:spacing w:line="120" w:lineRule="exact"/>
              <w:jc w:val="both"/>
              <w:rPr>
                <w:rFonts w:ascii="Arial" w:hAnsi="Arial" w:cs="Arial"/>
                <w:lang w:val="en-GB"/>
              </w:rPr>
            </w:pPr>
          </w:p>
          <w:p w14:paraId="08C2A570" w14:textId="77777777" w:rsidR="004A4A9F" w:rsidRPr="00207F77" w:rsidRDefault="004A4A9F" w:rsidP="004A4A9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1.5*X</w:t>
            </w:r>
            <w:r w:rsidR="00401B8C">
              <w:rPr>
                <w:rFonts w:ascii="Arial" w:hAnsi="Arial" w:cs="Arial"/>
                <w:lang w:val="en-GB"/>
              </w:rPr>
              <w:t>%</w:t>
            </w:r>
          </w:p>
        </w:tc>
      </w:tr>
      <w:tr w:rsidR="004A4A9F" w:rsidRPr="00207F77" w14:paraId="66374284" w14:textId="77777777" w:rsidTr="004A4A9F">
        <w:trPr>
          <w:jc w:val="center"/>
        </w:trPr>
        <w:tc>
          <w:tcPr>
            <w:tcW w:w="3161" w:type="dxa"/>
            <w:tcBorders>
              <w:top w:val="single" w:sz="7" w:space="0" w:color="000000"/>
              <w:left w:val="single" w:sz="7" w:space="0" w:color="000000"/>
              <w:bottom w:val="single" w:sz="7" w:space="0" w:color="000000"/>
              <w:right w:val="single" w:sz="7" w:space="0" w:color="000000"/>
            </w:tcBorders>
          </w:tcPr>
          <w:p w14:paraId="057F4E4E" w14:textId="77777777" w:rsidR="004A4A9F" w:rsidRPr="00207F77" w:rsidRDefault="004A4A9F" w:rsidP="00F6695C">
            <w:pPr>
              <w:spacing w:line="120" w:lineRule="exact"/>
              <w:jc w:val="both"/>
              <w:rPr>
                <w:rFonts w:ascii="Arial" w:hAnsi="Arial" w:cs="Arial"/>
                <w:lang w:val="en-GB"/>
              </w:rPr>
            </w:pPr>
          </w:p>
          <w:p w14:paraId="7FEBAC65"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Inclusion criteria III</w:t>
            </w:r>
          </w:p>
        </w:tc>
        <w:tc>
          <w:tcPr>
            <w:tcW w:w="2651" w:type="dxa"/>
            <w:tcBorders>
              <w:top w:val="single" w:sz="7" w:space="0" w:color="000000"/>
              <w:left w:val="single" w:sz="7" w:space="0" w:color="000000"/>
              <w:bottom w:val="single" w:sz="7" w:space="0" w:color="000000"/>
              <w:right w:val="single" w:sz="7" w:space="0" w:color="000000"/>
            </w:tcBorders>
          </w:tcPr>
          <w:p w14:paraId="0F41A963" w14:textId="77777777" w:rsidR="004A4A9F" w:rsidRPr="00207F77" w:rsidRDefault="004A4A9F" w:rsidP="00F6695C">
            <w:pPr>
              <w:spacing w:line="120" w:lineRule="exact"/>
              <w:jc w:val="both"/>
              <w:rPr>
                <w:rFonts w:ascii="Arial" w:hAnsi="Arial" w:cs="Arial"/>
                <w:lang w:val="en-GB"/>
              </w:rPr>
            </w:pPr>
          </w:p>
          <w:p w14:paraId="650BF6D5"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20</w:t>
            </w:r>
          </w:p>
        </w:tc>
        <w:tc>
          <w:tcPr>
            <w:tcW w:w="2813" w:type="dxa"/>
            <w:tcBorders>
              <w:top w:val="single" w:sz="7" w:space="0" w:color="000000"/>
              <w:left w:val="single" w:sz="7" w:space="0" w:color="000000"/>
              <w:bottom w:val="single" w:sz="7" w:space="0" w:color="000000"/>
              <w:right w:val="single" w:sz="7" w:space="0" w:color="000000"/>
            </w:tcBorders>
          </w:tcPr>
          <w:p w14:paraId="1709283E" w14:textId="77777777" w:rsidR="004A4A9F" w:rsidRPr="00207F77" w:rsidRDefault="004A4A9F" w:rsidP="00F6695C">
            <w:pPr>
              <w:spacing w:line="120" w:lineRule="exact"/>
              <w:jc w:val="both"/>
              <w:rPr>
                <w:rFonts w:ascii="Arial" w:hAnsi="Arial" w:cs="Arial"/>
                <w:lang w:val="en-GB"/>
              </w:rPr>
            </w:pPr>
          </w:p>
          <w:p w14:paraId="5559845A" w14:textId="77777777" w:rsidR="004A4A9F" w:rsidRPr="00207F77" w:rsidRDefault="004A4A9F" w:rsidP="00F6695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58"/>
              <w:jc w:val="both"/>
              <w:rPr>
                <w:rFonts w:ascii="Arial" w:hAnsi="Arial" w:cs="Arial"/>
                <w:lang w:val="en-GB"/>
              </w:rPr>
            </w:pPr>
            <w:r>
              <w:rPr>
                <w:rFonts w:ascii="Arial" w:hAnsi="Arial" w:cs="Arial"/>
                <w:lang w:val="en-GB"/>
              </w:rPr>
              <w:t>2.5*X</w:t>
            </w:r>
            <w:r w:rsidR="00401B8C">
              <w:rPr>
                <w:rFonts w:ascii="Arial" w:hAnsi="Arial" w:cs="Arial"/>
                <w:lang w:val="en-GB"/>
              </w:rPr>
              <w:t>%</w:t>
            </w:r>
          </w:p>
        </w:tc>
      </w:tr>
    </w:tbl>
    <w:p w14:paraId="70FFA947" w14:textId="77777777" w:rsidR="000333DC" w:rsidRDefault="000333DC" w:rsidP="00015BE3">
      <w:pPr>
        <w:jc w:val="both"/>
        <w:rPr>
          <w:rFonts w:ascii="Arial" w:hAnsi="Arial" w:cs="Arial"/>
          <w:lang w:val="en-GB"/>
        </w:rPr>
      </w:pPr>
    </w:p>
    <w:p w14:paraId="1B0DF524" w14:textId="435C59CD" w:rsidR="00EF28C1" w:rsidRDefault="00B36583" w:rsidP="00015BE3">
      <w:pPr>
        <w:jc w:val="both"/>
        <w:rPr>
          <w:rFonts w:ascii="Arial" w:hAnsi="Arial" w:cs="Arial"/>
          <w:lang w:val="en-GB"/>
        </w:rPr>
      </w:pPr>
      <w:r>
        <w:rPr>
          <w:rFonts w:ascii="Arial" w:hAnsi="Arial" w:cs="Arial"/>
          <w:lang w:val="en-GB"/>
        </w:rPr>
        <w:t>The table shows</w:t>
      </w:r>
      <w:r w:rsidR="007A1573">
        <w:rPr>
          <w:rFonts w:ascii="Arial" w:hAnsi="Arial" w:cs="Arial"/>
          <w:lang w:val="en-GB"/>
        </w:rPr>
        <w:t xml:space="preserve"> </w:t>
      </w:r>
      <w:r w:rsidR="004A4A9F">
        <w:rPr>
          <w:rFonts w:ascii="Arial" w:hAnsi="Arial" w:cs="Arial"/>
          <w:lang w:val="en-GB"/>
        </w:rPr>
        <w:t>that t</w:t>
      </w:r>
      <w:r w:rsidR="00DA1CBC" w:rsidRPr="00DA1CBC">
        <w:rPr>
          <w:rFonts w:ascii="Arial" w:hAnsi="Arial" w:cs="Arial"/>
          <w:lang w:val="en-GB"/>
        </w:rPr>
        <w:t xml:space="preserve">he results of the different </w:t>
      </w:r>
      <w:r w:rsidR="00DE3C13">
        <w:rPr>
          <w:rFonts w:ascii="Arial" w:hAnsi="Arial" w:cs="Arial"/>
          <w:lang w:val="en-GB"/>
        </w:rPr>
        <w:t xml:space="preserve">analysis </w:t>
      </w:r>
      <w:r w:rsidR="00DA1CBC" w:rsidRPr="00DA1CBC">
        <w:rPr>
          <w:rFonts w:ascii="Arial" w:hAnsi="Arial" w:cs="Arial"/>
          <w:lang w:val="en-GB"/>
        </w:rPr>
        <w:t>approaches differ as much as the actual effect size of the energy awareness campaign was thought to be across the whole hospital</w:t>
      </w:r>
      <w:r>
        <w:rPr>
          <w:rFonts w:ascii="Arial" w:hAnsi="Arial" w:cs="Arial"/>
          <w:lang w:val="en-GB"/>
        </w:rPr>
        <w:t xml:space="preserve">. </w:t>
      </w:r>
      <w:r w:rsidR="00AE3657">
        <w:rPr>
          <w:rFonts w:ascii="Arial" w:hAnsi="Arial" w:cs="Arial"/>
          <w:lang w:val="en-GB"/>
        </w:rPr>
        <w:t xml:space="preserve">This </w:t>
      </w:r>
      <w:r w:rsidR="00DD6AE6">
        <w:rPr>
          <w:rFonts w:ascii="Arial" w:hAnsi="Arial" w:cs="Arial"/>
          <w:lang w:val="en-GB"/>
        </w:rPr>
        <w:t>identifies</w:t>
      </w:r>
      <w:r w:rsidR="00AE3657">
        <w:rPr>
          <w:rFonts w:ascii="Arial" w:hAnsi="Arial" w:cs="Arial"/>
          <w:lang w:val="en-GB"/>
        </w:rPr>
        <w:t xml:space="preserve"> the importance of looking behind headline figures to understand not only effect sizes, but also what changes made them happen</w:t>
      </w:r>
      <w:r w:rsidR="00EF3A6A">
        <w:rPr>
          <w:rFonts w:ascii="Arial" w:hAnsi="Arial" w:cs="Arial"/>
          <w:lang w:val="en-GB"/>
        </w:rPr>
        <w:t xml:space="preserve"> and whether they correspond to the campaign aims and efforts</w:t>
      </w:r>
      <w:r w:rsidR="00AE3657">
        <w:rPr>
          <w:rFonts w:ascii="Arial" w:hAnsi="Arial" w:cs="Arial"/>
          <w:lang w:val="en-GB"/>
        </w:rPr>
        <w:t xml:space="preserve">. </w:t>
      </w:r>
    </w:p>
    <w:p w14:paraId="018232BC" w14:textId="77777777" w:rsidR="00EF3A6A" w:rsidRDefault="00EF3A6A" w:rsidP="00015BE3">
      <w:pPr>
        <w:jc w:val="both"/>
        <w:rPr>
          <w:rFonts w:ascii="Arial" w:hAnsi="Arial" w:cs="Arial"/>
          <w:lang w:val="en-GB"/>
        </w:rPr>
      </w:pPr>
    </w:p>
    <w:p w14:paraId="2BCCB509" w14:textId="77777777" w:rsidR="00882D75" w:rsidRDefault="00EF3A6A" w:rsidP="00EF3A6A">
      <w:pPr>
        <w:jc w:val="both"/>
        <w:rPr>
          <w:rFonts w:ascii="Arial" w:hAnsi="Arial" w:cs="Arial"/>
          <w:lang w:val="en-GB"/>
        </w:rPr>
      </w:pPr>
      <w:r>
        <w:rPr>
          <w:rFonts w:ascii="Arial" w:hAnsi="Arial" w:cs="Arial"/>
          <w:lang w:val="en-GB"/>
        </w:rPr>
        <w:t xml:space="preserve">A more detailed analysis of departmental electricity consumption can help this understanding, especially if detailed </w:t>
      </w:r>
      <w:r w:rsidR="002D4ED7">
        <w:rPr>
          <w:rFonts w:ascii="Arial" w:hAnsi="Arial" w:cs="Arial"/>
          <w:lang w:val="en-GB"/>
        </w:rPr>
        <w:t xml:space="preserve">expectations for a campaign’s outcomes </w:t>
      </w:r>
      <w:r w:rsidR="00EE6576">
        <w:rPr>
          <w:rFonts w:ascii="Arial" w:hAnsi="Arial" w:cs="Arial"/>
          <w:lang w:val="en-GB"/>
        </w:rPr>
        <w:t xml:space="preserve">(such </w:t>
      </w:r>
      <w:r w:rsidR="002D4ED7">
        <w:rPr>
          <w:rFonts w:ascii="Arial" w:hAnsi="Arial" w:cs="Arial"/>
          <w:lang w:val="en-GB"/>
        </w:rPr>
        <w:t>as a reduction of lighting use dur</w:t>
      </w:r>
      <w:r w:rsidR="00EE6576">
        <w:rPr>
          <w:rFonts w:ascii="Arial" w:hAnsi="Arial" w:cs="Arial"/>
          <w:lang w:val="en-GB"/>
        </w:rPr>
        <w:t xml:space="preserve">ing afternoon downtime on wards) </w:t>
      </w:r>
      <w:r w:rsidR="002D4ED7">
        <w:rPr>
          <w:rFonts w:ascii="Arial" w:hAnsi="Arial" w:cs="Arial"/>
          <w:lang w:val="en-GB"/>
        </w:rPr>
        <w:t>have be</w:t>
      </w:r>
      <w:r>
        <w:rPr>
          <w:rFonts w:ascii="Arial" w:hAnsi="Arial" w:cs="Arial"/>
          <w:lang w:val="en-GB"/>
        </w:rPr>
        <w:t xml:space="preserve">en specified. Figure 1 shows changes in the electricity use of </w:t>
      </w:r>
      <w:r w:rsidR="00DE3714">
        <w:rPr>
          <w:rFonts w:ascii="Arial" w:hAnsi="Arial" w:cs="Arial"/>
          <w:lang w:val="en-GB"/>
        </w:rPr>
        <w:t xml:space="preserve">a </w:t>
      </w:r>
      <w:r>
        <w:rPr>
          <w:rFonts w:ascii="Arial" w:hAnsi="Arial" w:cs="Arial"/>
          <w:lang w:val="en-GB"/>
        </w:rPr>
        <w:t>12 hour clinical area which, according to the project team, was very engaged with the campaign</w:t>
      </w:r>
      <w:r w:rsidR="00EE6576">
        <w:rPr>
          <w:rFonts w:ascii="Arial" w:hAnsi="Arial" w:cs="Arial"/>
          <w:lang w:val="en-GB"/>
        </w:rPr>
        <w:t xml:space="preserve"> at the large acute hospital</w:t>
      </w:r>
      <w:r>
        <w:rPr>
          <w:rFonts w:ascii="Arial" w:hAnsi="Arial" w:cs="Arial"/>
          <w:lang w:val="en-GB"/>
        </w:rPr>
        <w:t xml:space="preserve">. The area’s night-time electricity use after the campaign has clearly reduced – very likely in response to staff taking action to switch of lights and appliances at the end of the day. </w:t>
      </w:r>
    </w:p>
    <w:p w14:paraId="1B350733" w14:textId="77777777" w:rsidR="00882D75" w:rsidRDefault="00882D75" w:rsidP="00EF3A6A">
      <w:pPr>
        <w:jc w:val="both"/>
        <w:rPr>
          <w:rFonts w:ascii="Arial" w:hAnsi="Arial" w:cs="Arial"/>
          <w:lang w:val="en-GB"/>
        </w:rPr>
      </w:pPr>
    </w:p>
    <w:p w14:paraId="0DE1FB1F" w14:textId="0F48CBB5" w:rsidR="002D4ED7" w:rsidRDefault="00882D75" w:rsidP="00EF3A6A">
      <w:pPr>
        <w:jc w:val="both"/>
        <w:rPr>
          <w:rFonts w:ascii="Arial" w:hAnsi="Arial" w:cs="Arial"/>
          <w:lang w:val="en-GB"/>
        </w:rPr>
      </w:pPr>
      <w:r>
        <w:rPr>
          <w:rFonts w:ascii="Arial" w:hAnsi="Arial" w:cs="Arial"/>
          <w:lang w:val="en-GB"/>
        </w:rPr>
        <w:t>O</w:t>
      </w:r>
      <w:r w:rsidR="002D4ED7">
        <w:rPr>
          <w:rFonts w:ascii="Arial" w:hAnsi="Arial" w:cs="Arial"/>
          <w:lang w:val="en-GB"/>
        </w:rPr>
        <w:t>bservations of the targe</w:t>
      </w:r>
      <w:r>
        <w:rPr>
          <w:rFonts w:ascii="Arial" w:hAnsi="Arial" w:cs="Arial"/>
          <w:lang w:val="en-GB"/>
        </w:rPr>
        <w:t xml:space="preserve">t behaviours are indispensable </w:t>
      </w:r>
      <w:r>
        <w:rPr>
          <w:rFonts w:ascii="Arial" w:hAnsi="Arial" w:cs="Arial"/>
          <w:lang w:val="en-GB"/>
        </w:rPr>
        <w:t xml:space="preserve">for supporting this </w:t>
      </w:r>
      <w:r>
        <w:rPr>
          <w:rFonts w:ascii="Arial" w:hAnsi="Arial" w:cs="Arial"/>
          <w:lang w:val="en-GB"/>
        </w:rPr>
        <w:t xml:space="preserve">interpretation as they allow the </w:t>
      </w:r>
      <w:r w:rsidR="002D4ED7">
        <w:rPr>
          <w:rFonts w:ascii="Arial" w:hAnsi="Arial" w:cs="Arial"/>
          <w:lang w:val="en-GB"/>
        </w:rPr>
        <w:t xml:space="preserve">linking </w:t>
      </w:r>
      <w:r>
        <w:rPr>
          <w:rFonts w:ascii="Arial" w:hAnsi="Arial" w:cs="Arial"/>
          <w:lang w:val="en-GB"/>
        </w:rPr>
        <w:t xml:space="preserve">of </w:t>
      </w:r>
      <w:r w:rsidR="002D4ED7">
        <w:rPr>
          <w:rFonts w:ascii="Arial" w:hAnsi="Arial" w:cs="Arial"/>
          <w:lang w:val="en-GB"/>
        </w:rPr>
        <w:t xml:space="preserve">changes </w:t>
      </w:r>
      <w:r>
        <w:rPr>
          <w:rFonts w:ascii="Arial" w:hAnsi="Arial" w:cs="Arial"/>
          <w:lang w:val="en-GB"/>
        </w:rPr>
        <w:t>seen in</w:t>
      </w:r>
      <w:r w:rsidR="002D4ED7">
        <w:rPr>
          <w:rFonts w:ascii="Arial" w:hAnsi="Arial" w:cs="Arial"/>
          <w:lang w:val="en-GB"/>
        </w:rPr>
        <w:t xml:space="preserve"> the electricity consumption profile to staff energy behaviours. The</w:t>
      </w:r>
      <w:r>
        <w:rPr>
          <w:rFonts w:ascii="Arial" w:hAnsi="Arial" w:cs="Arial"/>
          <w:lang w:val="en-GB"/>
        </w:rPr>
        <w:t xml:space="preserve"> </w:t>
      </w:r>
      <w:r w:rsidRPr="00882D75">
        <w:rPr>
          <w:rFonts w:ascii="Arial" w:hAnsi="Arial" w:cs="Arial"/>
          <w:lang w:val="en-GB"/>
        </w:rPr>
        <w:t>behavioural audits carried out at the large acute</w:t>
      </w:r>
      <w:r>
        <w:rPr>
          <w:rFonts w:ascii="Arial" w:hAnsi="Arial" w:cs="Arial"/>
          <w:lang w:val="en-GB"/>
        </w:rPr>
        <w:t xml:space="preserve"> hospital</w:t>
      </w:r>
      <w:r w:rsidR="002D4ED7">
        <w:rPr>
          <w:rFonts w:ascii="Arial" w:hAnsi="Arial" w:cs="Arial"/>
          <w:lang w:val="en-GB"/>
        </w:rPr>
        <w:t xml:space="preserve"> </w:t>
      </w:r>
      <w:r w:rsidR="00EF3A6A">
        <w:rPr>
          <w:rFonts w:ascii="Arial" w:hAnsi="Arial" w:cs="Arial"/>
          <w:lang w:val="en-GB"/>
        </w:rPr>
        <w:t>were</w:t>
      </w:r>
      <w:r w:rsidR="002D4ED7">
        <w:rPr>
          <w:rFonts w:ascii="Arial" w:hAnsi="Arial" w:cs="Arial"/>
          <w:lang w:val="en-GB"/>
        </w:rPr>
        <w:t>, however, seen to have a number of limitations</w:t>
      </w:r>
      <w:r>
        <w:rPr>
          <w:rFonts w:ascii="Arial" w:hAnsi="Arial" w:cs="Arial"/>
          <w:lang w:val="en-GB"/>
        </w:rPr>
        <w:t xml:space="preserve">. </w:t>
      </w:r>
      <w:r w:rsidR="002D4ED7">
        <w:rPr>
          <w:rFonts w:ascii="Arial" w:hAnsi="Arial" w:cs="Arial"/>
          <w:lang w:val="en-GB"/>
        </w:rPr>
        <w:t xml:space="preserve">Most importantly, they were carried out at opportune moments during the day, as opposed to being linked clearly to </w:t>
      </w:r>
      <w:r w:rsidR="00794FEB">
        <w:rPr>
          <w:rFonts w:ascii="Arial" w:hAnsi="Arial" w:cs="Arial"/>
          <w:lang w:val="en-GB"/>
        </w:rPr>
        <w:t xml:space="preserve">the </w:t>
      </w:r>
      <w:r w:rsidR="002D4ED7">
        <w:rPr>
          <w:rFonts w:ascii="Arial" w:hAnsi="Arial" w:cs="Arial"/>
          <w:lang w:val="en-GB"/>
        </w:rPr>
        <w:t xml:space="preserve">behaviours the campaign was trying to motivate. In particular, night-time switch off behaviours suspected on the basis of changes in the electricity consumption profile could not be verified due to a lack of observations after hours. </w:t>
      </w:r>
      <w:r w:rsidR="00EE6576">
        <w:rPr>
          <w:rFonts w:ascii="Arial" w:hAnsi="Arial" w:cs="Arial"/>
          <w:lang w:val="en-GB"/>
        </w:rPr>
        <w:t>It is therefore recommended for future campaign evaluations to clearly link observational activities and target behaviours.</w:t>
      </w:r>
    </w:p>
    <w:p w14:paraId="316B8591" w14:textId="77777777" w:rsidR="002D4ED7" w:rsidRDefault="002D4ED7" w:rsidP="00EF3A6A">
      <w:pPr>
        <w:jc w:val="both"/>
        <w:rPr>
          <w:rFonts w:ascii="Arial" w:hAnsi="Arial" w:cs="Arial"/>
          <w:lang w:val="en-GB"/>
        </w:rPr>
      </w:pPr>
    </w:p>
    <w:p w14:paraId="04EFD316" w14:textId="77777777" w:rsidR="00EF3A6A" w:rsidRDefault="00EF3A6A" w:rsidP="003935BE">
      <w:pPr>
        <w:jc w:val="center"/>
        <w:rPr>
          <w:rFonts w:ascii="Arial" w:hAnsi="Arial" w:cs="Arial"/>
          <w:lang w:val="en-GB"/>
        </w:rPr>
      </w:pPr>
      <w:r w:rsidRPr="00EF3A6A">
        <w:rPr>
          <w:rFonts w:ascii="Arial" w:hAnsi="Arial" w:cs="Arial"/>
          <w:noProof/>
          <w:lang w:val="en-GB" w:eastAsia="en-GB"/>
        </w:rPr>
        <w:lastRenderedPageBreak/>
        <w:drawing>
          <wp:inline distT="0" distB="0" distL="0" distR="0" wp14:anchorId="1E225B61" wp14:editId="27184D24">
            <wp:extent cx="5743575" cy="4286004"/>
            <wp:effectExtent l="0" t="0" r="0" b="635"/>
            <wp:docPr id="3074" name="Picture 2" descr="D:\Dropbox\A_PhD\NHS Trusts\Barts\Data analysis\Python\Plots\Plots for Bex\Non ward areas\Top\7a Children's Outpati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Dropbox\A_PhD\NHS Trusts\Barts\Data analysis\Python\Plots\Plots for Bex\Non ward areas\Top\7a Children's Outpatien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186" cy="4286460"/>
                    </a:xfrm>
                    <a:prstGeom prst="rect">
                      <a:avLst/>
                    </a:prstGeom>
                    <a:noFill/>
                    <a:extLst/>
                  </pic:spPr>
                </pic:pic>
              </a:graphicData>
            </a:graphic>
          </wp:inline>
        </w:drawing>
      </w:r>
    </w:p>
    <w:p w14:paraId="7F81AA70" w14:textId="77777777" w:rsidR="00EF3A6A" w:rsidRDefault="00EF3A6A" w:rsidP="003935BE">
      <w:pPr>
        <w:jc w:val="center"/>
        <w:rPr>
          <w:rFonts w:ascii="Arial" w:hAnsi="Arial" w:cs="Arial"/>
          <w:lang w:val="en-GB"/>
        </w:rPr>
      </w:pPr>
      <w:r w:rsidRPr="00EF3A6A">
        <w:rPr>
          <w:rFonts w:ascii="Arial" w:hAnsi="Arial" w:cs="Arial"/>
          <w:b/>
          <w:lang w:val="en-GB"/>
        </w:rPr>
        <w:t>Figure 1</w:t>
      </w:r>
      <w:r>
        <w:rPr>
          <w:rFonts w:ascii="Arial" w:hAnsi="Arial" w:cs="Arial"/>
          <w:lang w:val="en-GB"/>
        </w:rPr>
        <w:t>: Changes in electricity use of a hospital 12 hour clinical area</w:t>
      </w:r>
    </w:p>
    <w:p w14:paraId="2C74746A" w14:textId="77777777" w:rsidR="00B36583" w:rsidRDefault="00B36583" w:rsidP="00015BE3">
      <w:pPr>
        <w:jc w:val="both"/>
        <w:rPr>
          <w:rFonts w:ascii="Arial" w:hAnsi="Arial" w:cs="Arial"/>
          <w:lang w:val="en-GB"/>
        </w:rPr>
      </w:pPr>
    </w:p>
    <w:p w14:paraId="0AA2C560" w14:textId="77777777" w:rsidR="00EF28C1" w:rsidRDefault="00EF28C1" w:rsidP="00EF28C1">
      <w:pPr>
        <w:pStyle w:val="Heading1"/>
        <w:jc w:val="both"/>
        <w:rPr>
          <w:rFonts w:ascii="Arial" w:hAnsi="Arial"/>
          <w:lang w:val="en-GB"/>
        </w:rPr>
      </w:pPr>
      <w:r>
        <w:rPr>
          <w:rFonts w:ascii="Arial" w:hAnsi="Arial"/>
          <w:lang w:val="en-GB"/>
        </w:rPr>
        <w:t>Discussion and conclusions</w:t>
      </w:r>
    </w:p>
    <w:p w14:paraId="217AB690" w14:textId="7127A863" w:rsidR="00B36583" w:rsidRDefault="00AE3657" w:rsidP="00015BE3">
      <w:pPr>
        <w:jc w:val="both"/>
        <w:rPr>
          <w:rFonts w:ascii="Arial" w:hAnsi="Arial" w:cs="Arial"/>
          <w:lang w:val="en-GB"/>
        </w:rPr>
      </w:pPr>
      <w:r>
        <w:rPr>
          <w:rFonts w:ascii="Arial" w:hAnsi="Arial" w:cs="Arial"/>
          <w:lang w:val="en-GB"/>
        </w:rPr>
        <w:t>The above</w:t>
      </w:r>
      <w:r w:rsidR="00B36583" w:rsidRPr="007A1573">
        <w:rPr>
          <w:rFonts w:ascii="Arial" w:hAnsi="Arial" w:cs="Arial"/>
          <w:lang w:val="en-GB"/>
        </w:rPr>
        <w:t xml:space="preserve"> findings highlight that the methodology used to estimate energy savings from behaviour change in complex non-domestic buildings is hugely important, while so far no standardised methodologies are available and the pressures to pr</w:t>
      </w:r>
      <w:r w:rsidR="00B36583">
        <w:rPr>
          <w:rFonts w:ascii="Arial" w:hAnsi="Arial" w:cs="Arial"/>
          <w:lang w:val="en-GB"/>
        </w:rPr>
        <w:t>esent actual savings are high</w:t>
      </w:r>
      <w:r w:rsidR="00882D75">
        <w:rPr>
          <w:rFonts w:ascii="Arial" w:hAnsi="Arial" w:cs="Arial"/>
          <w:lang w:val="en-GB"/>
        </w:rPr>
        <w:t xml:space="preserve">, </w:t>
      </w:r>
      <w:r w:rsidR="00882D75" w:rsidRPr="007A1573">
        <w:rPr>
          <w:rFonts w:ascii="Arial" w:hAnsi="Arial" w:cs="Arial"/>
          <w:lang w:val="en-GB"/>
        </w:rPr>
        <w:t xml:space="preserve">especially in </w:t>
      </w:r>
      <w:r w:rsidR="00882D75">
        <w:rPr>
          <w:rFonts w:ascii="Arial" w:hAnsi="Arial" w:cs="Arial"/>
          <w:lang w:val="en-GB"/>
        </w:rPr>
        <w:t xml:space="preserve">the </w:t>
      </w:r>
      <w:r w:rsidR="00882D75" w:rsidRPr="007A1573">
        <w:rPr>
          <w:rFonts w:ascii="Arial" w:hAnsi="Arial" w:cs="Arial"/>
          <w:lang w:val="en-GB"/>
        </w:rPr>
        <w:t>consultancy</w:t>
      </w:r>
      <w:r w:rsidR="00882D75">
        <w:rPr>
          <w:rFonts w:ascii="Arial" w:hAnsi="Arial" w:cs="Arial"/>
          <w:lang w:val="en-GB"/>
        </w:rPr>
        <w:t xml:space="preserve"> sector</w:t>
      </w:r>
      <w:r w:rsidR="00B36583">
        <w:rPr>
          <w:rFonts w:ascii="Arial" w:hAnsi="Arial" w:cs="Arial"/>
          <w:lang w:val="en-GB"/>
        </w:rPr>
        <w:t xml:space="preserve">. </w:t>
      </w:r>
      <w:r w:rsidR="00882D75">
        <w:rPr>
          <w:rFonts w:ascii="Arial" w:hAnsi="Arial" w:cs="Arial"/>
          <w:lang w:val="en-GB"/>
        </w:rPr>
        <w:t>Thus it is</w:t>
      </w:r>
      <w:r w:rsidR="00EE6576">
        <w:rPr>
          <w:rFonts w:ascii="Arial" w:hAnsi="Arial" w:cs="Arial"/>
          <w:lang w:val="en-GB"/>
        </w:rPr>
        <w:t xml:space="preserve"> crucial to stimulate discussion on this issue between campaign developers, building operators and independent evaluators to arrive at consistent methodologies for the </w:t>
      </w:r>
      <w:r w:rsidR="0087661E">
        <w:rPr>
          <w:rFonts w:ascii="Arial" w:hAnsi="Arial" w:cs="Arial"/>
          <w:lang w:val="en-GB"/>
        </w:rPr>
        <w:t xml:space="preserve">measurement and the verification of energy savings through staff-centred conservation initiatives, </w:t>
      </w:r>
      <w:r w:rsidR="00EE6576">
        <w:rPr>
          <w:rFonts w:ascii="Arial" w:hAnsi="Arial" w:cs="Arial"/>
          <w:lang w:val="en-GB"/>
        </w:rPr>
        <w:t xml:space="preserve">similar to those existent for technical energy efficiency measures. </w:t>
      </w:r>
    </w:p>
    <w:p w14:paraId="7BBA7F1C" w14:textId="77777777" w:rsidR="00EE6576" w:rsidRDefault="00EE6576" w:rsidP="00015BE3">
      <w:pPr>
        <w:jc w:val="both"/>
        <w:rPr>
          <w:rFonts w:ascii="Arial" w:hAnsi="Arial" w:cs="Arial"/>
          <w:lang w:val="en-GB"/>
        </w:rPr>
      </w:pPr>
    </w:p>
    <w:p w14:paraId="29D7611E" w14:textId="613FCC92" w:rsidR="00684AD8" w:rsidRDefault="00EE6576" w:rsidP="00015BE3">
      <w:pPr>
        <w:jc w:val="both"/>
        <w:rPr>
          <w:rFonts w:ascii="Arial" w:hAnsi="Arial" w:cs="Arial"/>
          <w:lang w:val="en-GB"/>
        </w:rPr>
      </w:pPr>
      <w:r>
        <w:rPr>
          <w:rFonts w:ascii="Arial" w:hAnsi="Arial" w:cs="Arial"/>
          <w:lang w:val="en-GB"/>
        </w:rPr>
        <w:t>At the same time, t</w:t>
      </w:r>
      <w:r w:rsidR="00FB69DB" w:rsidRPr="004A29CB">
        <w:rPr>
          <w:rFonts w:ascii="Arial" w:hAnsi="Arial" w:cs="Arial"/>
          <w:lang w:val="en-GB"/>
        </w:rPr>
        <w:t>he</w:t>
      </w:r>
      <w:r w:rsidR="0087661E">
        <w:rPr>
          <w:rFonts w:ascii="Arial" w:hAnsi="Arial" w:cs="Arial"/>
          <w:lang w:val="en-GB"/>
        </w:rPr>
        <w:t xml:space="preserve"> presented</w:t>
      </w:r>
      <w:r w:rsidR="00FB69DB" w:rsidRPr="004A29CB">
        <w:rPr>
          <w:rFonts w:ascii="Arial" w:hAnsi="Arial" w:cs="Arial"/>
          <w:lang w:val="en-GB"/>
        </w:rPr>
        <w:t xml:space="preserve"> </w:t>
      </w:r>
      <w:r>
        <w:rPr>
          <w:rFonts w:ascii="Arial" w:hAnsi="Arial" w:cs="Arial"/>
          <w:lang w:val="en-GB"/>
        </w:rPr>
        <w:t>findings</w:t>
      </w:r>
      <w:r w:rsidR="00CE2ADB" w:rsidRPr="004A29CB">
        <w:rPr>
          <w:rFonts w:ascii="Arial" w:hAnsi="Arial" w:cs="Arial"/>
          <w:lang w:val="en-GB"/>
        </w:rPr>
        <w:t xml:space="preserve"> query whether it is at all realistic to place individual energy behaviours reliably within the context of total building energy use in complex non-domestic buildings</w:t>
      </w:r>
      <w:r w:rsidR="002542ED">
        <w:rPr>
          <w:rFonts w:ascii="Arial" w:hAnsi="Arial" w:cs="Arial"/>
          <w:lang w:val="en-GB"/>
        </w:rPr>
        <w:t xml:space="preserve"> due to the high variability of ongoing processes and resulting loads. The study </w:t>
      </w:r>
      <w:r w:rsidR="00CE2ADB" w:rsidRPr="004A29CB">
        <w:rPr>
          <w:rFonts w:ascii="Arial" w:hAnsi="Arial" w:cs="Arial"/>
          <w:lang w:val="en-GB"/>
        </w:rPr>
        <w:t>suggest</w:t>
      </w:r>
      <w:r w:rsidR="002542ED">
        <w:rPr>
          <w:rFonts w:ascii="Arial" w:hAnsi="Arial" w:cs="Arial"/>
          <w:lang w:val="en-GB"/>
        </w:rPr>
        <w:t>s</w:t>
      </w:r>
      <w:r w:rsidR="00FB69DB" w:rsidRPr="004A29CB">
        <w:rPr>
          <w:rFonts w:ascii="Arial" w:hAnsi="Arial" w:cs="Arial"/>
          <w:lang w:val="en-GB"/>
        </w:rPr>
        <w:t xml:space="preserve"> that the </w:t>
      </w:r>
      <w:r w:rsidR="00CE2ADB" w:rsidRPr="004A29CB">
        <w:rPr>
          <w:rFonts w:ascii="Arial" w:hAnsi="Arial" w:cs="Arial"/>
          <w:lang w:val="en-GB"/>
        </w:rPr>
        <w:t xml:space="preserve">reliable </w:t>
      </w:r>
      <w:r w:rsidR="00FB69DB" w:rsidRPr="004A29CB">
        <w:rPr>
          <w:rFonts w:ascii="Arial" w:hAnsi="Arial" w:cs="Arial"/>
          <w:lang w:val="en-GB"/>
        </w:rPr>
        <w:t xml:space="preserve">evaluation of </w:t>
      </w:r>
      <w:r w:rsidR="002542ED">
        <w:rPr>
          <w:rFonts w:ascii="Arial" w:hAnsi="Arial" w:cs="Arial"/>
          <w:lang w:val="en-GB"/>
        </w:rPr>
        <w:t>such</w:t>
      </w:r>
      <w:r w:rsidR="00FB69DB" w:rsidRPr="004A29CB">
        <w:rPr>
          <w:rFonts w:ascii="Arial" w:hAnsi="Arial" w:cs="Arial"/>
          <w:lang w:val="en-GB"/>
        </w:rPr>
        <w:t xml:space="preserve"> conservation initiatives </w:t>
      </w:r>
      <w:r w:rsidR="002542ED">
        <w:rPr>
          <w:rFonts w:ascii="Arial" w:hAnsi="Arial" w:cs="Arial"/>
          <w:lang w:val="en-GB"/>
        </w:rPr>
        <w:t xml:space="preserve">can be </w:t>
      </w:r>
      <w:r w:rsidR="00CE2ADB" w:rsidRPr="004A29CB">
        <w:rPr>
          <w:rFonts w:ascii="Arial" w:hAnsi="Arial" w:cs="Arial"/>
          <w:lang w:val="en-GB"/>
        </w:rPr>
        <w:t xml:space="preserve">difficult </w:t>
      </w:r>
      <w:r w:rsidR="00DE3714">
        <w:rPr>
          <w:rFonts w:ascii="Arial" w:hAnsi="Arial" w:cs="Arial"/>
          <w:lang w:val="en-GB"/>
        </w:rPr>
        <w:t>or</w:t>
      </w:r>
      <w:r w:rsidR="00DE3714" w:rsidRPr="004A29CB">
        <w:rPr>
          <w:rFonts w:ascii="Arial" w:hAnsi="Arial" w:cs="Arial"/>
          <w:lang w:val="en-GB"/>
        </w:rPr>
        <w:t xml:space="preserve"> </w:t>
      </w:r>
      <w:r w:rsidR="00CE2ADB" w:rsidRPr="004A29CB">
        <w:rPr>
          <w:rFonts w:ascii="Arial" w:hAnsi="Arial" w:cs="Arial"/>
          <w:lang w:val="en-GB"/>
        </w:rPr>
        <w:t xml:space="preserve">impossible if </w:t>
      </w:r>
      <w:r w:rsidR="00FB69DB" w:rsidRPr="004A29CB">
        <w:rPr>
          <w:rFonts w:ascii="Arial" w:hAnsi="Arial" w:cs="Arial"/>
          <w:lang w:val="en-GB"/>
        </w:rPr>
        <w:t xml:space="preserve">based exclusively on the </w:t>
      </w:r>
      <w:r w:rsidR="00CE2ADB" w:rsidRPr="004A29CB">
        <w:rPr>
          <w:rFonts w:ascii="Arial" w:hAnsi="Arial" w:cs="Arial"/>
          <w:lang w:val="en-GB"/>
        </w:rPr>
        <w:t>analysis of energy data. For building owners and operators, however, hard</w:t>
      </w:r>
      <w:r w:rsidR="002542ED">
        <w:rPr>
          <w:rFonts w:ascii="Arial" w:hAnsi="Arial" w:cs="Arial"/>
          <w:lang w:val="en-GB"/>
        </w:rPr>
        <w:t xml:space="preserve"> energy</w:t>
      </w:r>
      <w:r w:rsidR="00CE2ADB" w:rsidRPr="004A29CB">
        <w:rPr>
          <w:rFonts w:ascii="Arial" w:hAnsi="Arial" w:cs="Arial"/>
          <w:lang w:val="en-GB"/>
        </w:rPr>
        <w:t xml:space="preserve"> savings and resulting cost reductions are a prerequisite for business plans and funding proposals. </w:t>
      </w:r>
      <w:r w:rsidR="00684AD8">
        <w:rPr>
          <w:rFonts w:ascii="Arial" w:hAnsi="Arial" w:cs="Arial"/>
          <w:lang w:val="en-GB"/>
        </w:rPr>
        <w:t xml:space="preserve">New approaches are consequently needed to bridge this gap. </w:t>
      </w:r>
    </w:p>
    <w:p w14:paraId="3C3BE7FE" w14:textId="77777777" w:rsidR="00684AD8" w:rsidRDefault="00684AD8" w:rsidP="00015BE3">
      <w:pPr>
        <w:jc w:val="both"/>
        <w:rPr>
          <w:rFonts w:ascii="Arial" w:hAnsi="Arial" w:cs="Arial"/>
          <w:lang w:val="en-GB"/>
        </w:rPr>
      </w:pPr>
    </w:p>
    <w:p w14:paraId="1896ED15" w14:textId="46B581A8" w:rsidR="00DE3C13" w:rsidRDefault="00DE3C13" w:rsidP="00015BE3">
      <w:pPr>
        <w:jc w:val="both"/>
        <w:rPr>
          <w:rFonts w:ascii="Arial" w:hAnsi="Arial" w:cs="Arial"/>
          <w:lang w:val="en-GB"/>
        </w:rPr>
      </w:pPr>
      <w:r>
        <w:rPr>
          <w:rFonts w:ascii="Arial" w:hAnsi="Arial" w:cs="Arial"/>
          <w:lang w:val="en-GB"/>
        </w:rPr>
        <w:t>The use of intermediate performance indicators could</w:t>
      </w:r>
      <w:r w:rsidR="00401B8C">
        <w:rPr>
          <w:rFonts w:ascii="Arial" w:hAnsi="Arial" w:cs="Arial"/>
          <w:lang w:val="en-GB"/>
        </w:rPr>
        <w:t xml:space="preserve"> provide </w:t>
      </w:r>
      <w:r>
        <w:rPr>
          <w:rFonts w:ascii="Arial" w:hAnsi="Arial" w:cs="Arial"/>
          <w:lang w:val="en-GB"/>
        </w:rPr>
        <w:t>a</w:t>
      </w:r>
      <w:r w:rsidR="00CE2ADB" w:rsidRPr="004A29CB">
        <w:rPr>
          <w:rFonts w:ascii="Arial" w:hAnsi="Arial" w:cs="Arial"/>
          <w:lang w:val="en-GB"/>
        </w:rPr>
        <w:t xml:space="preserve"> </w:t>
      </w:r>
      <w:r>
        <w:rPr>
          <w:rFonts w:ascii="Arial" w:hAnsi="Arial" w:cs="Arial"/>
          <w:lang w:val="en-GB"/>
        </w:rPr>
        <w:t xml:space="preserve">potential </w:t>
      </w:r>
      <w:r w:rsidR="00401B8C">
        <w:rPr>
          <w:rFonts w:ascii="Arial" w:hAnsi="Arial" w:cs="Arial"/>
          <w:lang w:val="en-GB"/>
        </w:rPr>
        <w:t xml:space="preserve">means by which to </w:t>
      </w:r>
      <w:r w:rsidR="00401B8C">
        <w:rPr>
          <w:rFonts w:ascii="Arial" w:hAnsi="Arial" w:cs="Arial"/>
          <w:lang w:val="en-GB"/>
        </w:rPr>
        <w:lastRenderedPageBreak/>
        <w:t>address this issue</w:t>
      </w:r>
      <w:r w:rsidR="00A45D12">
        <w:rPr>
          <w:rFonts w:ascii="Arial" w:hAnsi="Arial" w:cs="Arial"/>
          <w:lang w:val="en-GB"/>
        </w:rPr>
        <w:t>.</w:t>
      </w:r>
      <w:r w:rsidR="00401B8C">
        <w:rPr>
          <w:rFonts w:ascii="Arial" w:hAnsi="Arial" w:cs="Arial"/>
          <w:lang w:val="en-GB"/>
        </w:rPr>
        <w:t xml:space="preserve"> To achieve this, such indicators would ideally </w:t>
      </w:r>
      <w:r>
        <w:rPr>
          <w:rFonts w:ascii="Arial" w:hAnsi="Arial" w:cs="Arial"/>
          <w:lang w:val="en-GB"/>
        </w:rPr>
        <w:t xml:space="preserve">need to be: </w:t>
      </w:r>
    </w:p>
    <w:p w14:paraId="6797D9F3" w14:textId="77777777" w:rsidR="00684AD8" w:rsidRDefault="00684AD8" w:rsidP="00015BE3">
      <w:pPr>
        <w:jc w:val="both"/>
        <w:rPr>
          <w:rFonts w:ascii="Arial" w:hAnsi="Arial" w:cs="Arial"/>
          <w:lang w:val="en-GB"/>
        </w:rPr>
      </w:pPr>
    </w:p>
    <w:p w14:paraId="71120954" w14:textId="77777777" w:rsidR="00DE3C13" w:rsidRDefault="00A45D12" w:rsidP="00DE3C13">
      <w:pPr>
        <w:pStyle w:val="ListParagraph"/>
        <w:numPr>
          <w:ilvl w:val="0"/>
          <w:numId w:val="16"/>
        </w:numPr>
        <w:jc w:val="both"/>
        <w:rPr>
          <w:rFonts w:ascii="Arial" w:hAnsi="Arial" w:cs="Arial"/>
          <w:lang w:val="en-GB"/>
        </w:rPr>
      </w:pPr>
      <w:r>
        <w:rPr>
          <w:rFonts w:ascii="Arial" w:hAnsi="Arial" w:cs="Arial"/>
          <w:lang w:val="en-GB"/>
        </w:rPr>
        <w:t>l</w:t>
      </w:r>
      <w:r w:rsidR="00DE3C13">
        <w:rPr>
          <w:rFonts w:ascii="Arial" w:hAnsi="Arial" w:cs="Arial"/>
          <w:lang w:val="en-GB"/>
        </w:rPr>
        <w:t>inked to specific target behaviour</w:t>
      </w:r>
      <w:r w:rsidR="00585810">
        <w:rPr>
          <w:rFonts w:ascii="Arial" w:hAnsi="Arial" w:cs="Arial"/>
          <w:lang w:val="en-GB"/>
        </w:rPr>
        <w:t>s</w:t>
      </w:r>
      <w:r w:rsidR="00DE3C13">
        <w:rPr>
          <w:rFonts w:ascii="Arial" w:hAnsi="Arial" w:cs="Arial"/>
          <w:lang w:val="en-GB"/>
        </w:rPr>
        <w:t xml:space="preserve"> and </w:t>
      </w:r>
      <w:r>
        <w:rPr>
          <w:rFonts w:ascii="Arial" w:hAnsi="Arial" w:cs="Arial"/>
          <w:lang w:val="en-GB"/>
        </w:rPr>
        <w:t xml:space="preserve">times / </w:t>
      </w:r>
      <w:r w:rsidR="00585810">
        <w:rPr>
          <w:rFonts w:ascii="Arial" w:hAnsi="Arial" w:cs="Arial"/>
          <w:lang w:val="en-GB"/>
        </w:rPr>
        <w:t xml:space="preserve">areas, e.g. turning off lights </w:t>
      </w:r>
      <w:r>
        <w:rPr>
          <w:rFonts w:ascii="Arial" w:hAnsi="Arial" w:cs="Arial"/>
          <w:lang w:val="en-GB"/>
        </w:rPr>
        <w:t xml:space="preserve">at night / </w:t>
      </w:r>
      <w:r w:rsidR="00585810">
        <w:rPr>
          <w:rFonts w:ascii="Arial" w:hAnsi="Arial" w:cs="Arial"/>
          <w:lang w:val="en-GB"/>
        </w:rPr>
        <w:t xml:space="preserve">in unused shower rooms </w:t>
      </w:r>
    </w:p>
    <w:p w14:paraId="5BFCDF63" w14:textId="661B033F" w:rsidR="00585810" w:rsidRDefault="00A45D12" w:rsidP="00DE3C13">
      <w:pPr>
        <w:pStyle w:val="ListParagraph"/>
        <w:numPr>
          <w:ilvl w:val="0"/>
          <w:numId w:val="16"/>
        </w:numPr>
        <w:jc w:val="both"/>
        <w:rPr>
          <w:rFonts w:ascii="Arial" w:hAnsi="Arial" w:cs="Arial"/>
          <w:lang w:val="en-GB"/>
        </w:rPr>
      </w:pPr>
      <w:proofErr w:type="gramStart"/>
      <w:r>
        <w:rPr>
          <w:rFonts w:ascii="Arial" w:hAnsi="Arial" w:cs="Arial"/>
          <w:lang w:val="en-GB"/>
        </w:rPr>
        <w:t>b</w:t>
      </w:r>
      <w:r w:rsidRPr="00A45D12">
        <w:rPr>
          <w:rFonts w:ascii="Arial" w:hAnsi="Arial" w:cs="Arial"/>
          <w:lang w:val="en-GB"/>
        </w:rPr>
        <w:t>ased</w:t>
      </w:r>
      <w:proofErr w:type="gramEnd"/>
      <w:r w:rsidRPr="00A45D12">
        <w:rPr>
          <w:rFonts w:ascii="Arial" w:hAnsi="Arial" w:cs="Arial"/>
          <w:lang w:val="en-GB"/>
        </w:rPr>
        <w:t xml:space="preserve"> on a clear understanding of </w:t>
      </w:r>
      <w:r>
        <w:rPr>
          <w:rFonts w:ascii="Arial" w:hAnsi="Arial" w:cs="Arial"/>
          <w:lang w:val="en-GB"/>
        </w:rPr>
        <w:t>t</w:t>
      </w:r>
      <w:r w:rsidR="00585810" w:rsidRPr="00A45D12">
        <w:rPr>
          <w:rFonts w:ascii="Arial" w:hAnsi="Arial" w:cs="Arial"/>
          <w:lang w:val="en-GB"/>
        </w:rPr>
        <w:t xml:space="preserve">he impact different behaviours </w:t>
      </w:r>
      <w:r>
        <w:rPr>
          <w:rFonts w:ascii="Arial" w:hAnsi="Arial" w:cs="Arial"/>
          <w:lang w:val="en-GB"/>
        </w:rPr>
        <w:t xml:space="preserve">have </w:t>
      </w:r>
      <w:r w:rsidR="00585810" w:rsidRPr="00A45D12">
        <w:rPr>
          <w:rFonts w:ascii="Arial" w:hAnsi="Arial" w:cs="Arial"/>
          <w:lang w:val="en-GB"/>
        </w:rPr>
        <w:t xml:space="preserve">on energy use </w:t>
      </w:r>
      <w:r>
        <w:rPr>
          <w:rFonts w:ascii="Arial" w:hAnsi="Arial" w:cs="Arial"/>
          <w:lang w:val="en-GB"/>
        </w:rPr>
        <w:t>(</w:t>
      </w:r>
      <w:r w:rsidR="00585810" w:rsidRPr="00A45D12">
        <w:rPr>
          <w:rFonts w:ascii="Arial" w:hAnsi="Arial" w:cs="Arial"/>
          <w:lang w:val="en-GB"/>
        </w:rPr>
        <w:t xml:space="preserve">This is </w:t>
      </w:r>
      <w:r w:rsidR="00882D75">
        <w:rPr>
          <w:rFonts w:ascii="Arial" w:hAnsi="Arial" w:cs="Arial"/>
          <w:lang w:val="en-GB"/>
        </w:rPr>
        <w:t>r</w:t>
      </w:r>
      <w:r>
        <w:rPr>
          <w:rFonts w:ascii="Arial" w:hAnsi="Arial" w:cs="Arial"/>
          <w:lang w:val="en-GB"/>
        </w:rPr>
        <w:t>elevant</w:t>
      </w:r>
      <w:r w:rsidR="00585810" w:rsidRPr="00A45D12">
        <w:rPr>
          <w:rFonts w:ascii="Arial" w:hAnsi="Arial" w:cs="Arial"/>
          <w:lang w:val="en-GB"/>
        </w:rPr>
        <w:t xml:space="preserve"> to identify </w:t>
      </w:r>
      <w:r>
        <w:rPr>
          <w:rFonts w:ascii="Arial" w:hAnsi="Arial" w:cs="Arial"/>
          <w:lang w:val="en-GB"/>
        </w:rPr>
        <w:t>target behaviours which make a staff-centred</w:t>
      </w:r>
      <w:r w:rsidR="00585810" w:rsidRPr="00A45D12">
        <w:rPr>
          <w:rFonts w:ascii="Arial" w:hAnsi="Arial" w:cs="Arial"/>
          <w:lang w:val="en-GB"/>
        </w:rPr>
        <w:t xml:space="preserve"> intervention worthwhile. In </w:t>
      </w:r>
      <w:r>
        <w:rPr>
          <w:rFonts w:ascii="Arial" w:hAnsi="Arial" w:cs="Arial"/>
          <w:lang w:val="en-GB"/>
        </w:rPr>
        <w:t xml:space="preserve">many </w:t>
      </w:r>
      <w:r w:rsidR="00585810" w:rsidRPr="00A45D12">
        <w:rPr>
          <w:rFonts w:ascii="Arial" w:hAnsi="Arial" w:cs="Arial"/>
          <w:lang w:val="en-GB"/>
        </w:rPr>
        <w:t>non-domestic buildings, such as industrial buildings, hospitals or laborator</w:t>
      </w:r>
      <w:r w:rsidR="00AA3A29">
        <w:rPr>
          <w:rFonts w:ascii="Arial" w:hAnsi="Arial" w:cs="Arial"/>
          <w:lang w:val="en-GB"/>
        </w:rPr>
        <w:t>ies</w:t>
      </w:r>
      <w:r w:rsidR="00B36583">
        <w:rPr>
          <w:rFonts w:ascii="Arial" w:hAnsi="Arial" w:cs="Arial"/>
          <w:lang w:val="en-GB"/>
        </w:rPr>
        <w:t xml:space="preserve"> this question can</w:t>
      </w:r>
      <w:r w:rsidR="00585810" w:rsidRPr="00A45D12">
        <w:rPr>
          <w:rFonts w:ascii="Arial" w:hAnsi="Arial" w:cs="Arial"/>
          <w:lang w:val="en-GB"/>
        </w:rPr>
        <w:t xml:space="preserve">not be underrated because </w:t>
      </w:r>
      <w:r w:rsidR="00684AD8">
        <w:rPr>
          <w:rFonts w:ascii="Arial" w:hAnsi="Arial" w:cs="Arial"/>
          <w:lang w:val="en-GB"/>
        </w:rPr>
        <w:t>significant unavoidable</w:t>
      </w:r>
      <w:r w:rsidR="00585810" w:rsidRPr="00A45D12">
        <w:rPr>
          <w:rFonts w:ascii="Arial" w:hAnsi="Arial" w:cs="Arial"/>
          <w:lang w:val="en-GB"/>
        </w:rPr>
        <w:t xml:space="preserve"> </w:t>
      </w:r>
      <w:r w:rsidR="00B36583">
        <w:rPr>
          <w:rFonts w:ascii="Arial" w:hAnsi="Arial" w:cs="Arial"/>
          <w:lang w:val="en-GB"/>
        </w:rPr>
        <w:t>process loads may well outweigh</w:t>
      </w:r>
      <w:r w:rsidR="00882D75">
        <w:rPr>
          <w:rFonts w:ascii="Arial" w:hAnsi="Arial" w:cs="Arial"/>
          <w:lang w:val="en-GB"/>
        </w:rPr>
        <w:t xml:space="preserve"> any positive difference staff</w:t>
      </w:r>
      <w:r w:rsidR="00585810" w:rsidRPr="00A45D12">
        <w:rPr>
          <w:rFonts w:ascii="Arial" w:hAnsi="Arial" w:cs="Arial"/>
          <w:lang w:val="en-GB"/>
        </w:rPr>
        <w:t xml:space="preserve"> effort may have on total energy consumption. Due to the heterogeneous nature of non-domestic buildings, a thorough analysis of the </w:t>
      </w:r>
      <w:r>
        <w:rPr>
          <w:rFonts w:ascii="Arial" w:hAnsi="Arial" w:cs="Arial"/>
          <w:lang w:val="en-GB"/>
        </w:rPr>
        <w:t>local context seems inevitable.)</w:t>
      </w:r>
    </w:p>
    <w:p w14:paraId="0F12CD2F" w14:textId="77777777" w:rsidR="00A45D12" w:rsidRPr="00A45D12" w:rsidRDefault="00A45D12" w:rsidP="00DE3C13">
      <w:pPr>
        <w:pStyle w:val="ListParagraph"/>
        <w:numPr>
          <w:ilvl w:val="0"/>
          <w:numId w:val="16"/>
        </w:numPr>
        <w:jc w:val="both"/>
        <w:rPr>
          <w:rFonts w:ascii="Arial" w:hAnsi="Arial" w:cs="Arial"/>
          <w:lang w:val="en-GB"/>
        </w:rPr>
      </w:pPr>
      <w:r>
        <w:rPr>
          <w:rFonts w:ascii="Arial" w:hAnsi="Arial" w:cs="Arial"/>
          <w:lang w:val="en-GB"/>
        </w:rPr>
        <w:t>recorded systematically, e.g. through a comprehensive survey of participants</w:t>
      </w:r>
    </w:p>
    <w:p w14:paraId="5F562CFC" w14:textId="77777777" w:rsidR="00585810" w:rsidRDefault="00585810" w:rsidP="00585810">
      <w:pPr>
        <w:jc w:val="both"/>
        <w:rPr>
          <w:rFonts w:ascii="Arial" w:hAnsi="Arial" w:cs="Arial"/>
          <w:lang w:val="en-GB"/>
        </w:rPr>
      </w:pPr>
    </w:p>
    <w:p w14:paraId="0808A022" w14:textId="6224B311" w:rsidR="0087661E" w:rsidRDefault="00DE3C13" w:rsidP="00015BE3">
      <w:pPr>
        <w:jc w:val="both"/>
        <w:rPr>
          <w:rFonts w:ascii="Arial" w:hAnsi="Arial" w:cs="Arial"/>
          <w:lang w:val="en-GB"/>
        </w:rPr>
      </w:pPr>
      <w:r w:rsidRPr="00585810">
        <w:rPr>
          <w:rFonts w:ascii="Arial" w:hAnsi="Arial" w:cs="Arial"/>
          <w:lang w:val="en-GB"/>
        </w:rPr>
        <w:t>Commonly, self-reports of building occupants on their practises as well as observations of target behaviours are already includ</w:t>
      </w:r>
      <w:r w:rsidR="00A45D12">
        <w:rPr>
          <w:rFonts w:ascii="Arial" w:hAnsi="Arial" w:cs="Arial"/>
          <w:lang w:val="en-GB"/>
        </w:rPr>
        <w:t xml:space="preserve">ed in best-practise evaluations. </w:t>
      </w:r>
      <w:r w:rsidR="00684AD8">
        <w:rPr>
          <w:rFonts w:ascii="Arial" w:hAnsi="Arial" w:cs="Arial"/>
          <w:lang w:val="en-GB"/>
        </w:rPr>
        <w:t>Yet often</w:t>
      </w:r>
      <w:r w:rsidR="00A45D12">
        <w:rPr>
          <w:rFonts w:ascii="Arial" w:hAnsi="Arial" w:cs="Arial"/>
          <w:lang w:val="en-GB"/>
        </w:rPr>
        <w:t xml:space="preserve"> they</w:t>
      </w:r>
      <w:r w:rsidR="000708F3">
        <w:rPr>
          <w:rFonts w:ascii="Arial" w:hAnsi="Arial" w:cs="Arial"/>
          <w:lang w:val="en-GB"/>
        </w:rPr>
        <w:t xml:space="preserve"> can</w:t>
      </w:r>
      <w:r w:rsidR="00A45D12">
        <w:rPr>
          <w:rFonts w:ascii="Arial" w:hAnsi="Arial" w:cs="Arial"/>
          <w:lang w:val="en-GB"/>
        </w:rPr>
        <w:t>not go beyond levels of anecdotal evidence and spot-checks on relevant behaviours given the resources available</w:t>
      </w:r>
      <w:r w:rsidR="00B36583">
        <w:rPr>
          <w:rFonts w:ascii="Arial" w:hAnsi="Arial" w:cs="Arial"/>
          <w:lang w:val="en-GB"/>
        </w:rPr>
        <w:t xml:space="preserve"> for </w:t>
      </w:r>
      <w:r w:rsidR="000708F3">
        <w:rPr>
          <w:rFonts w:ascii="Arial" w:hAnsi="Arial" w:cs="Arial"/>
          <w:lang w:val="en-GB"/>
        </w:rPr>
        <w:t>evaluative efforts</w:t>
      </w:r>
      <w:r w:rsidR="00A45D12">
        <w:rPr>
          <w:rFonts w:ascii="Arial" w:hAnsi="Arial" w:cs="Arial"/>
          <w:lang w:val="en-GB"/>
        </w:rPr>
        <w:t xml:space="preserve">. </w:t>
      </w:r>
      <w:r w:rsidR="0087661E">
        <w:rPr>
          <w:rFonts w:ascii="Arial" w:hAnsi="Arial" w:cs="Arial"/>
          <w:lang w:val="en-GB"/>
        </w:rPr>
        <w:t>T</w:t>
      </w:r>
      <w:r w:rsidR="00684AD8">
        <w:rPr>
          <w:rFonts w:ascii="Arial" w:hAnsi="Arial" w:cs="Arial"/>
          <w:lang w:val="en-GB"/>
        </w:rPr>
        <w:t>he systematic a</w:t>
      </w:r>
      <w:r w:rsidR="00684AD8" w:rsidRPr="00684AD8">
        <w:rPr>
          <w:rFonts w:ascii="Arial" w:hAnsi="Arial" w:cs="Arial"/>
          <w:lang w:val="en-GB"/>
        </w:rPr>
        <w:t>pplication of a questionnaire-based benchmarking tool for the assessment of behaviour change potential</w:t>
      </w:r>
      <w:r w:rsidR="00684AD8">
        <w:rPr>
          <w:rFonts w:ascii="Arial" w:hAnsi="Arial" w:cs="Arial"/>
          <w:lang w:val="en-GB"/>
        </w:rPr>
        <w:t>s</w:t>
      </w:r>
      <w:r w:rsidR="00684AD8" w:rsidRPr="00684AD8">
        <w:rPr>
          <w:rFonts w:ascii="Arial" w:hAnsi="Arial" w:cs="Arial"/>
          <w:lang w:val="en-GB"/>
        </w:rPr>
        <w:t xml:space="preserve"> might help to offset this weakness (see </w:t>
      </w:r>
      <w:r w:rsidR="00684AD8">
        <w:rPr>
          <w:rFonts w:ascii="Arial" w:hAnsi="Arial" w:cs="Arial"/>
          <w:lang w:val="en-GB"/>
        </w:rPr>
        <w:t xml:space="preserve">[16] </w:t>
      </w:r>
      <w:r w:rsidR="00684AD8" w:rsidRPr="00684AD8">
        <w:rPr>
          <w:rFonts w:ascii="Arial" w:hAnsi="Arial" w:cs="Arial"/>
          <w:lang w:val="en-GB"/>
        </w:rPr>
        <w:t>for an example questionnaire</w:t>
      </w:r>
      <w:r w:rsidR="00684AD8">
        <w:rPr>
          <w:rFonts w:ascii="Arial" w:hAnsi="Arial" w:cs="Arial"/>
          <w:lang w:val="en-GB"/>
        </w:rPr>
        <w:t xml:space="preserve"> for</w:t>
      </w:r>
      <w:r w:rsidR="00684AD8" w:rsidRPr="00684AD8">
        <w:rPr>
          <w:rFonts w:ascii="Arial" w:hAnsi="Arial" w:cs="Arial"/>
          <w:lang w:val="en-GB"/>
        </w:rPr>
        <w:t xml:space="preserve"> offices and industrial settings).</w:t>
      </w:r>
      <w:r w:rsidR="00684AD8">
        <w:rPr>
          <w:rFonts w:ascii="Arial" w:hAnsi="Arial" w:cs="Arial"/>
          <w:lang w:val="en-GB"/>
        </w:rPr>
        <w:t xml:space="preserve"> </w:t>
      </w:r>
    </w:p>
    <w:p w14:paraId="4DF3F0FF" w14:textId="77777777" w:rsidR="0087661E" w:rsidRDefault="0087661E" w:rsidP="00015BE3">
      <w:pPr>
        <w:jc w:val="both"/>
        <w:rPr>
          <w:rFonts w:ascii="Arial" w:hAnsi="Arial" w:cs="Arial"/>
          <w:lang w:val="en-GB"/>
        </w:rPr>
      </w:pPr>
    </w:p>
    <w:p w14:paraId="22714CC4" w14:textId="79EFC429" w:rsidR="00F83E84" w:rsidRDefault="0087661E" w:rsidP="00015BE3">
      <w:pPr>
        <w:jc w:val="both"/>
        <w:rPr>
          <w:rFonts w:ascii="Arial" w:hAnsi="Arial" w:cs="Arial"/>
          <w:lang w:val="en-GB"/>
        </w:rPr>
      </w:pPr>
      <w:r>
        <w:rPr>
          <w:rFonts w:ascii="Arial" w:hAnsi="Arial" w:cs="Arial"/>
          <w:lang w:val="en-GB"/>
        </w:rPr>
        <w:t>But substantial challenges remain, first and foremost with regard</w:t>
      </w:r>
      <w:r w:rsidR="003935BE">
        <w:rPr>
          <w:rFonts w:ascii="Arial" w:hAnsi="Arial" w:cs="Arial"/>
          <w:lang w:val="en-GB"/>
        </w:rPr>
        <w:t xml:space="preserve"> to</w:t>
      </w:r>
      <w:r w:rsidR="00C20487">
        <w:rPr>
          <w:rFonts w:ascii="Arial" w:hAnsi="Arial" w:cs="Arial"/>
          <w:lang w:val="en-GB"/>
        </w:rPr>
        <w:t xml:space="preserve"> how energy behaviours relate to building energy use in the first place – an area that</w:t>
      </w:r>
      <w:r w:rsidR="00F83E84">
        <w:rPr>
          <w:rFonts w:ascii="Arial" w:hAnsi="Arial" w:cs="Arial"/>
          <w:lang w:val="en-GB"/>
        </w:rPr>
        <w:t xml:space="preserve"> especially in complex non-domestic buildings</w:t>
      </w:r>
      <w:r w:rsidR="00C20487">
        <w:rPr>
          <w:rFonts w:ascii="Arial" w:hAnsi="Arial" w:cs="Arial"/>
          <w:lang w:val="en-GB"/>
        </w:rPr>
        <w:t xml:space="preserve"> merits further attention of researchers from both behavioural and technical backgrounds. Also, the range of impacts on programme participants, which </w:t>
      </w:r>
      <w:r w:rsidR="00684AD8">
        <w:rPr>
          <w:rFonts w:ascii="Arial" w:hAnsi="Arial" w:cs="Arial"/>
          <w:lang w:val="en-GB"/>
        </w:rPr>
        <w:t>might</w:t>
      </w:r>
      <w:r w:rsidR="00C20487">
        <w:rPr>
          <w:rFonts w:ascii="Arial" w:hAnsi="Arial" w:cs="Arial"/>
          <w:lang w:val="en-GB"/>
        </w:rPr>
        <w:t xml:space="preserve"> include non-energy effects as well as the diffusion of ideas on energy and sustainability into </w:t>
      </w:r>
      <w:r w:rsidR="003935BE">
        <w:rPr>
          <w:rFonts w:ascii="Arial" w:hAnsi="Arial" w:cs="Arial"/>
          <w:lang w:val="en-GB"/>
        </w:rPr>
        <w:t>the domestic context, remain</w:t>
      </w:r>
      <w:r w:rsidR="00F83E84">
        <w:rPr>
          <w:rFonts w:ascii="Arial" w:hAnsi="Arial" w:cs="Arial"/>
          <w:lang w:val="en-GB"/>
        </w:rPr>
        <w:t xml:space="preserve"> intrinsically hard to value using standardised quantitative tool</w:t>
      </w:r>
      <w:r w:rsidR="00E6547C">
        <w:rPr>
          <w:rFonts w:ascii="Arial" w:hAnsi="Arial" w:cs="Arial"/>
          <w:lang w:val="en-GB"/>
        </w:rPr>
        <w:t>s. It might</w:t>
      </w:r>
      <w:r w:rsidR="00F83E84">
        <w:rPr>
          <w:rFonts w:ascii="Arial" w:hAnsi="Arial" w:cs="Arial"/>
          <w:lang w:val="en-GB"/>
        </w:rPr>
        <w:t xml:space="preserve">, hence, be at the heart of any discussion on behavioural energy efficiency </w:t>
      </w:r>
      <w:r w:rsidR="00F02AB7">
        <w:rPr>
          <w:rFonts w:ascii="Arial" w:hAnsi="Arial" w:cs="Arial"/>
          <w:lang w:val="en-GB"/>
        </w:rPr>
        <w:t xml:space="preserve">measures </w:t>
      </w:r>
      <w:r w:rsidR="00F83E84">
        <w:rPr>
          <w:rFonts w:ascii="Arial" w:hAnsi="Arial" w:cs="Arial"/>
          <w:lang w:val="en-GB"/>
        </w:rPr>
        <w:t xml:space="preserve">whether </w:t>
      </w:r>
      <w:r w:rsidR="00E6547C">
        <w:rPr>
          <w:rFonts w:ascii="Arial" w:hAnsi="Arial" w:cs="Arial"/>
          <w:lang w:val="en-GB"/>
        </w:rPr>
        <w:t>they can simply be placed</w:t>
      </w:r>
      <w:r w:rsidR="00F83E84">
        <w:rPr>
          <w:rFonts w:ascii="Arial" w:hAnsi="Arial" w:cs="Arial"/>
          <w:lang w:val="en-GB"/>
        </w:rPr>
        <w:t xml:space="preserve"> alongside technical measures and </w:t>
      </w:r>
      <w:r w:rsidR="00E6547C">
        <w:rPr>
          <w:rFonts w:ascii="Arial" w:hAnsi="Arial" w:cs="Arial"/>
          <w:lang w:val="en-GB"/>
        </w:rPr>
        <w:t xml:space="preserve">evaluated </w:t>
      </w:r>
      <w:r w:rsidR="00AA3A29">
        <w:rPr>
          <w:rFonts w:ascii="Arial" w:hAnsi="Arial" w:cs="Arial"/>
          <w:lang w:val="en-GB"/>
        </w:rPr>
        <w:t>purely on the same</w:t>
      </w:r>
      <w:r w:rsidR="00F83E84">
        <w:rPr>
          <w:rFonts w:ascii="Arial" w:hAnsi="Arial" w:cs="Arial"/>
          <w:lang w:val="en-GB"/>
        </w:rPr>
        <w:t xml:space="preserve"> grounds. </w:t>
      </w:r>
    </w:p>
    <w:p w14:paraId="6F9AC4C8" w14:textId="77777777" w:rsidR="00F83E84" w:rsidRDefault="00F83E84" w:rsidP="00015BE3">
      <w:pPr>
        <w:jc w:val="both"/>
        <w:rPr>
          <w:rFonts w:ascii="Arial" w:hAnsi="Arial" w:cs="Arial"/>
          <w:lang w:val="en-GB"/>
        </w:rPr>
      </w:pPr>
    </w:p>
    <w:p w14:paraId="1F7C14BC" w14:textId="77777777" w:rsidR="00F83E84" w:rsidRDefault="00F83E84" w:rsidP="00015BE3">
      <w:pPr>
        <w:jc w:val="both"/>
        <w:rPr>
          <w:rFonts w:ascii="Arial" w:hAnsi="Arial" w:cs="Arial"/>
          <w:lang w:val="en-GB"/>
        </w:rPr>
      </w:pPr>
      <w:r>
        <w:rPr>
          <w:rFonts w:ascii="Arial" w:hAnsi="Arial" w:cs="Arial"/>
          <w:lang w:val="en-GB"/>
        </w:rPr>
        <w:t xml:space="preserve">Potentially it would be more beneficial in promoting learning from successful </w:t>
      </w:r>
      <w:r w:rsidR="00AA3A29">
        <w:rPr>
          <w:rFonts w:ascii="Arial" w:hAnsi="Arial" w:cs="Arial"/>
          <w:lang w:val="en-GB"/>
        </w:rPr>
        <w:t xml:space="preserve">staff-centred conservation </w:t>
      </w:r>
      <w:r>
        <w:rPr>
          <w:rFonts w:ascii="Arial" w:hAnsi="Arial" w:cs="Arial"/>
          <w:lang w:val="en-GB"/>
        </w:rPr>
        <w:t>programmes and initiatives</w:t>
      </w:r>
      <w:r w:rsidR="00AA3A29">
        <w:rPr>
          <w:rFonts w:ascii="Arial" w:hAnsi="Arial" w:cs="Arial"/>
          <w:lang w:val="en-GB"/>
        </w:rPr>
        <w:t xml:space="preserve"> especially in complex buildings</w:t>
      </w:r>
      <w:r>
        <w:rPr>
          <w:rFonts w:ascii="Arial" w:hAnsi="Arial" w:cs="Arial"/>
          <w:lang w:val="en-GB"/>
        </w:rPr>
        <w:t xml:space="preserve"> if the focus of reporting was moved away from </w:t>
      </w:r>
      <w:r w:rsidR="00AA3A29">
        <w:rPr>
          <w:rFonts w:ascii="Arial" w:hAnsi="Arial" w:cs="Arial"/>
          <w:lang w:val="en-GB"/>
        </w:rPr>
        <w:t xml:space="preserve">headlines based on </w:t>
      </w:r>
      <w:r>
        <w:rPr>
          <w:rFonts w:ascii="Arial" w:hAnsi="Arial" w:cs="Arial"/>
          <w:lang w:val="en-GB"/>
        </w:rPr>
        <w:t xml:space="preserve">absolute energy and cost savings and towards </w:t>
      </w:r>
      <w:r w:rsidR="00AA3A29">
        <w:rPr>
          <w:rFonts w:ascii="Arial" w:hAnsi="Arial" w:cs="Arial"/>
          <w:lang w:val="en-GB"/>
        </w:rPr>
        <w:t xml:space="preserve">honest accounts of what worked and what did not in both design and implementation. Naturally, this is a bold call in a context where contracts are won on the basis of prospective savings, but not least building owners, operators and organisations more generally will appreciate that their staff are to be valued differently from mere assets. </w:t>
      </w:r>
    </w:p>
    <w:p w14:paraId="76342F4F" w14:textId="77777777" w:rsidR="00F83E84" w:rsidRDefault="00F83E84" w:rsidP="00015BE3">
      <w:pPr>
        <w:jc w:val="both"/>
        <w:rPr>
          <w:rFonts w:ascii="Arial" w:hAnsi="Arial" w:cs="Arial"/>
          <w:lang w:val="en-GB"/>
        </w:rPr>
      </w:pPr>
    </w:p>
    <w:p w14:paraId="4B07E0AF" w14:textId="77777777" w:rsidR="00B900C1" w:rsidRPr="00207F77" w:rsidRDefault="00FC4E92" w:rsidP="00CE2ADB">
      <w:pPr>
        <w:pStyle w:val="Heading1"/>
        <w:jc w:val="both"/>
        <w:rPr>
          <w:rFonts w:ascii="Arial" w:hAnsi="Arial"/>
          <w:lang w:val="en-GB"/>
        </w:rPr>
      </w:pPr>
      <w:r w:rsidRPr="00207F77">
        <w:rPr>
          <w:rFonts w:ascii="Arial" w:hAnsi="Arial"/>
          <w:lang w:val="en-GB"/>
        </w:rPr>
        <w:t>References</w:t>
      </w:r>
    </w:p>
    <w:p w14:paraId="08438480" w14:textId="77777777" w:rsidR="00207F77" w:rsidRPr="00794FEB" w:rsidRDefault="00FC4E92" w:rsidP="00207F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 xml:space="preserve">[1] </w:t>
      </w:r>
      <w:r w:rsidR="00207F77" w:rsidRPr="00794FEB">
        <w:rPr>
          <w:rFonts w:ascii="Arial" w:hAnsi="Arial" w:cs="Arial"/>
          <w:sz w:val="22"/>
          <w:lang w:val="en-GB"/>
        </w:rPr>
        <w:t>Department of E</w:t>
      </w:r>
      <w:r w:rsidR="00AF133A" w:rsidRPr="00794FEB">
        <w:rPr>
          <w:rFonts w:ascii="Arial" w:hAnsi="Arial" w:cs="Arial"/>
          <w:sz w:val="22"/>
          <w:lang w:val="en-GB"/>
        </w:rPr>
        <w:t>nergy and Climate Change (DECC)</w:t>
      </w:r>
      <w:r w:rsidR="00207F77" w:rsidRPr="00794FEB">
        <w:rPr>
          <w:rFonts w:ascii="Arial" w:hAnsi="Arial" w:cs="Arial"/>
          <w:sz w:val="22"/>
          <w:lang w:val="en-GB"/>
        </w:rPr>
        <w:t xml:space="preserve"> 2011. </w:t>
      </w:r>
      <w:r w:rsidR="00AF133A" w:rsidRPr="00794FEB">
        <w:rPr>
          <w:rFonts w:ascii="Arial" w:hAnsi="Arial" w:cs="Arial"/>
          <w:sz w:val="22"/>
          <w:lang w:val="en-GB"/>
        </w:rPr>
        <w:t>“</w:t>
      </w:r>
      <w:r w:rsidR="00207F77" w:rsidRPr="00794FEB">
        <w:rPr>
          <w:rFonts w:ascii="Arial" w:hAnsi="Arial" w:cs="Arial"/>
          <w:sz w:val="22"/>
          <w:lang w:val="en-GB"/>
        </w:rPr>
        <w:t>The Carbon Plan:</w:t>
      </w:r>
    </w:p>
    <w:p w14:paraId="213EDDB2" w14:textId="77777777" w:rsidR="00B900C1" w:rsidRDefault="00207F77" w:rsidP="00207F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Delivering our low carbon future.</w:t>
      </w:r>
      <w:proofErr w:type="gramStart"/>
      <w:r w:rsidR="00AF133A" w:rsidRPr="00794FEB">
        <w:rPr>
          <w:rFonts w:ascii="Arial" w:hAnsi="Arial" w:cs="Arial"/>
          <w:sz w:val="22"/>
          <w:lang w:val="en-GB"/>
        </w:rPr>
        <w:t>”.</w:t>
      </w:r>
      <w:proofErr w:type="gramEnd"/>
      <w:r w:rsidR="00AF133A" w:rsidRPr="00794FEB">
        <w:rPr>
          <w:rFonts w:ascii="Arial" w:hAnsi="Arial" w:cs="Arial"/>
          <w:sz w:val="22"/>
          <w:lang w:val="en-GB"/>
        </w:rPr>
        <w:t xml:space="preserve"> London: </w:t>
      </w:r>
      <w:r w:rsidRPr="00794FEB">
        <w:rPr>
          <w:rFonts w:ascii="Arial" w:hAnsi="Arial" w:cs="Arial"/>
          <w:sz w:val="22"/>
          <w:lang w:val="en-GB"/>
        </w:rPr>
        <w:t>Crown.</w:t>
      </w:r>
    </w:p>
    <w:p w14:paraId="0D457885" w14:textId="77777777" w:rsidR="00F7443A" w:rsidRPr="00A1152D" w:rsidRDefault="00F7443A" w:rsidP="00207F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14"/>
          <w:lang w:val="en-GB"/>
        </w:rPr>
      </w:pPr>
    </w:p>
    <w:p w14:paraId="3D2D4D93" w14:textId="3C8779B8" w:rsidR="00F7443A" w:rsidRPr="00794FEB" w:rsidRDefault="00F7443A" w:rsidP="00207F7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22"/>
          <w:lang w:val="en-GB"/>
        </w:rPr>
      </w:pPr>
      <w:r>
        <w:rPr>
          <w:rFonts w:ascii="Arial" w:hAnsi="Arial" w:cs="Arial"/>
          <w:sz w:val="22"/>
          <w:lang w:val="en-GB"/>
        </w:rPr>
        <w:t xml:space="preserve">[2] </w:t>
      </w:r>
      <w:proofErr w:type="spellStart"/>
      <w:r w:rsidRPr="00F7443A">
        <w:rPr>
          <w:rFonts w:ascii="Arial" w:hAnsi="Arial" w:cs="Arial"/>
          <w:sz w:val="22"/>
          <w:lang w:val="en-GB"/>
        </w:rPr>
        <w:t>Abrahamse</w:t>
      </w:r>
      <w:proofErr w:type="spellEnd"/>
      <w:r w:rsidRPr="00F7443A">
        <w:rPr>
          <w:rFonts w:ascii="Arial" w:hAnsi="Arial" w:cs="Arial"/>
          <w:sz w:val="22"/>
          <w:lang w:val="en-GB"/>
        </w:rPr>
        <w:t xml:space="preserve">, W., L. </w:t>
      </w:r>
      <w:proofErr w:type="spellStart"/>
      <w:r w:rsidRPr="00F7443A">
        <w:rPr>
          <w:rFonts w:ascii="Arial" w:hAnsi="Arial" w:cs="Arial"/>
          <w:sz w:val="22"/>
          <w:lang w:val="en-GB"/>
        </w:rPr>
        <w:t>Steg</w:t>
      </w:r>
      <w:proofErr w:type="spellEnd"/>
      <w:r w:rsidRPr="00F7443A">
        <w:rPr>
          <w:rFonts w:ascii="Arial" w:hAnsi="Arial" w:cs="Arial"/>
          <w:sz w:val="22"/>
          <w:lang w:val="en-GB"/>
        </w:rPr>
        <w:t xml:space="preserve">, C. </w:t>
      </w:r>
      <w:proofErr w:type="spellStart"/>
      <w:r w:rsidRPr="00F7443A">
        <w:rPr>
          <w:rFonts w:ascii="Arial" w:hAnsi="Arial" w:cs="Arial"/>
          <w:sz w:val="22"/>
          <w:lang w:val="en-GB"/>
        </w:rPr>
        <w:t>Vlek</w:t>
      </w:r>
      <w:proofErr w:type="spellEnd"/>
      <w:r w:rsidRPr="00F7443A">
        <w:rPr>
          <w:rFonts w:ascii="Arial" w:hAnsi="Arial" w:cs="Arial"/>
          <w:sz w:val="22"/>
          <w:lang w:val="en-GB"/>
        </w:rPr>
        <w:t xml:space="preserve"> and T. </w:t>
      </w:r>
      <w:proofErr w:type="spellStart"/>
      <w:r w:rsidRPr="00F7443A">
        <w:rPr>
          <w:rFonts w:ascii="Arial" w:hAnsi="Arial" w:cs="Arial"/>
          <w:sz w:val="22"/>
          <w:lang w:val="en-GB"/>
        </w:rPr>
        <w:t>Rothengatter</w:t>
      </w:r>
      <w:proofErr w:type="spellEnd"/>
      <w:r w:rsidRPr="00F7443A">
        <w:rPr>
          <w:rFonts w:ascii="Arial" w:hAnsi="Arial" w:cs="Arial"/>
          <w:sz w:val="22"/>
          <w:lang w:val="en-GB"/>
        </w:rPr>
        <w:t xml:space="preserve"> (2005). "A review of intervention studies aimed at household energy conservation." Journal of Environmental Psychology 25(3): 273-291.</w:t>
      </w:r>
    </w:p>
    <w:p w14:paraId="03CBBC2D" w14:textId="77777777" w:rsidR="00B900C1" w:rsidRPr="00A1152D" w:rsidRDefault="00B900C1" w:rsidP="00BE6FC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14"/>
          <w:lang w:val="en-GB"/>
        </w:rPr>
      </w:pPr>
    </w:p>
    <w:p w14:paraId="39FEBAE7" w14:textId="4BE1991D" w:rsidR="00B900C1" w:rsidRPr="00794FEB" w:rsidRDefault="00A12393" w:rsidP="00AF133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22"/>
          <w:lang w:val="de-DE"/>
        </w:rPr>
      </w:pPr>
      <w:r w:rsidRPr="00794FEB">
        <w:rPr>
          <w:rFonts w:ascii="Arial" w:hAnsi="Arial" w:cs="Arial"/>
          <w:sz w:val="22"/>
          <w:lang w:val="en-GB"/>
        </w:rPr>
        <w:lastRenderedPageBreak/>
        <w:t>[</w:t>
      </w:r>
      <w:r w:rsidR="00F7443A">
        <w:rPr>
          <w:rFonts w:ascii="Arial" w:hAnsi="Arial" w:cs="Arial"/>
          <w:sz w:val="22"/>
          <w:lang w:val="en-GB"/>
        </w:rPr>
        <w:t>3</w:t>
      </w:r>
      <w:r w:rsidRPr="00794FEB">
        <w:rPr>
          <w:rFonts w:ascii="Arial" w:hAnsi="Arial" w:cs="Arial"/>
          <w:sz w:val="22"/>
          <w:lang w:val="en-GB"/>
        </w:rPr>
        <w:t xml:space="preserve">] </w:t>
      </w:r>
      <w:proofErr w:type="spellStart"/>
      <w:r w:rsidR="00AF133A" w:rsidRPr="00794FEB">
        <w:rPr>
          <w:rFonts w:ascii="Arial" w:hAnsi="Arial" w:cs="Arial"/>
          <w:sz w:val="22"/>
          <w:lang w:val="en-GB"/>
        </w:rPr>
        <w:t>Matthies</w:t>
      </w:r>
      <w:proofErr w:type="spellEnd"/>
      <w:r w:rsidR="00AF133A" w:rsidRPr="00794FEB">
        <w:rPr>
          <w:rFonts w:ascii="Arial" w:hAnsi="Arial" w:cs="Arial"/>
          <w:sz w:val="22"/>
          <w:lang w:val="en-GB"/>
        </w:rPr>
        <w:t xml:space="preserve">, E., </w:t>
      </w:r>
      <w:proofErr w:type="spellStart"/>
      <w:r w:rsidR="00AF133A" w:rsidRPr="00794FEB">
        <w:rPr>
          <w:rFonts w:ascii="Arial" w:hAnsi="Arial" w:cs="Arial"/>
          <w:sz w:val="22"/>
          <w:lang w:val="en-GB"/>
        </w:rPr>
        <w:t>Kastner</w:t>
      </w:r>
      <w:proofErr w:type="spellEnd"/>
      <w:r w:rsidR="00AF133A" w:rsidRPr="00794FEB">
        <w:rPr>
          <w:rFonts w:ascii="Arial" w:hAnsi="Arial" w:cs="Arial"/>
          <w:sz w:val="22"/>
          <w:lang w:val="en-GB"/>
        </w:rPr>
        <w:t xml:space="preserve">, I., </w:t>
      </w:r>
      <w:proofErr w:type="spellStart"/>
      <w:r w:rsidR="00AF133A" w:rsidRPr="00794FEB">
        <w:rPr>
          <w:rFonts w:ascii="Arial" w:hAnsi="Arial" w:cs="Arial"/>
          <w:sz w:val="22"/>
          <w:lang w:val="en-GB"/>
        </w:rPr>
        <w:t>Klesse</w:t>
      </w:r>
      <w:proofErr w:type="spellEnd"/>
      <w:r w:rsidR="00AF133A" w:rsidRPr="00794FEB">
        <w:rPr>
          <w:rFonts w:ascii="Arial" w:hAnsi="Arial" w:cs="Arial"/>
          <w:sz w:val="22"/>
          <w:lang w:val="en-GB"/>
        </w:rPr>
        <w:t xml:space="preserve">, A., Wagner, H.-J. 2011. “High reduction potentials for energy user </w:t>
      </w:r>
      <w:proofErr w:type="spellStart"/>
      <w:r w:rsidR="00AF133A" w:rsidRPr="00794FEB">
        <w:rPr>
          <w:rFonts w:ascii="Arial" w:hAnsi="Arial" w:cs="Arial"/>
          <w:sz w:val="22"/>
          <w:lang w:val="en-GB"/>
        </w:rPr>
        <w:t>behavior</w:t>
      </w:r>
      <w:proofErr w:type="spellEnd"/>
      <w:r w:rsidR="00AF133A" w:rsidRPr="00794FEB">
        <w:rPr>
          <w:rFonts w:ascii="Arial" w:hAnsi="Arial" w:cs="Arial"/>
          <w:sz w:val="22"/>
          <w:lang w:val="en-GB"/>
        </w:rPr>
        <w:t xml:space="preserve"> in public buildings: how much can psychology-based interventions achieve?” </w:t>
      </w:r>
      <w:r w:rsidR="00AF133A" w:rsidRPr="00794FEB">
        <w:rPr>
          <w:rFonts w:ascii="Arial" w:hAnsi="Arial" w:cs="Arial"/>
          <w:i/>
          <w:sz w:val="22"/>
          <w:lang w:val="de-DE"/>
        </w:rPr>
        <w:t>Journal of Environmental Studies and Sciences</w:t>
      </w:r>
      <w:r w:rsidR="00AF133A" w:rsidRPr="00794FEB">
        <w:rPr>
          <w:rFonts w:ascii="Arial" w:hAnsi="Arial" w:cs="Arial"/>
          <w:sz w:val="22"/>
          <w:lang w:val="de-DE"/>
        </w:rPr>
        <w:t xml:space="preserve"> 1 (3), 241–255.</w:t>
      </w:r>
    </w:p>
    <w:p w14:paraId="7C54FE5D" w14:textId="77777777" w:rsidR="00AF133A" w:rsidRPr="00A1152D" w:rsidRDefault="00AF133A" w:rsidP="00AF133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14"/>
          <w:lang w:val="de-DE"/>
        </w:rPr>
      </w:pPr>
    </w:p>
    <w:p w14:paraId="63AF3CCE" w14:textId="494683BE" w:rsidR="00AF133A" w:rsidRPr="002352CD" w:rsidRDefault="00AF133A" w:rsidP="00AF133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22"/>
          <w:lang w:val="de-DE"/>
        </w:rPr>
      </w:pPr>
      <w:r w:rsidRPr="00794FEB">
        <w:rPr>
          <w:rFonts w:ascii="Arial" w:hAnsi="Arial" w:cs="Arial"/>
          <w:sz w:val="22"/>
          <w:lang w:val="de-DE"/>
        </w:rPr>
        <w:t>[</w:t>
      </w:r>
      <w:r w:rsidR="00F7443A">
        <w:rPr>
          <w:rFonts w:ascii="Arial" w:hAnsi="Arial" w:cs="Arial"/>
          <w:sz w:val="22"/>
          <w:lang w:val="de-DE"/>
        </w:rPr>
        <w:t>4</w:t>
      </w:r>
      <w:r w:rsidRPr="00794FEB">
        <w:rPr>
          <w:rFonts w:ascii="Arial" w:hAnsi="Arial" w:cs="Arial"/>
          <w:sz w:val="22"/>
          <w:lang w:val="de-DE"/>
        </w:rPr>
        <w:t xml:space="preserve">] Schahn, J. 2007. “Projekt Energiemanagment am Psycholgischen Institut der Universiät Heidelberg: Ein erfolgreicher Fehlschlag.“ </w:t>
      </w:r>
      <w:r w:rsidR="002352CD">
        <w:rPr>
          <w:rFonts w:ascii="Arial" w:hAnsi="Arial" w:cs="Arial"/>
          <w:sz w:val="22"/>
          <w:lang w:val="de-DE"/>
        </w:rPr>
        <w:t xml:space="preserve">[in German] </w:t>
      </w:r>
      <w:r w:rsidRPr="002352CD">
        <w:rPr>
          <w:rFonts w:ascii="Arial" w:hAnsi="Arial" w:cs="Arial"/>
          <w:i/>
          <w:sz w:val="22"/>
          <w:lang w:val="de-DE"/>
        </w:rPr>
        <w:t>Umweltpsychologie</w:t>
      </w:r>
      <w:r w:rsidRPr="002352CD">
        <w:rPr>
          <w:rFonts w:ascii="Arial" w:hAnsi="Arial" w:cs="Arial"/>
          <w:sz w:val="22"/>
          <w:lang w:val="de-DE"/>
        </w:rPr>
        <w:t xml:space="preserve"> 11 (2), 138–163.</w:t>
      </w:r>
    </w:p>
    <w:p w14:paraId="54BC90F6" w14:textId="77777777" w:rsidR="00AF133A" w:rsidRPr="00A1152D" w:rsidRDefault="00AF133A" w:rsidP="00AF133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14"/>
          <w:lang w:val="de-DE"/>
        </w:rPr>
      </w:pPr>
    </w:p>
    <w:p w14:paraId="61121D4F" w14:textId="6ED27C11" w:rsidR="00AF133A" w:rsidRPr="00794FEB" w:rsidRDefault="00AF133A" w:rsidP="00AF133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de-DE"/>
        </w:rPr>
        <w:t>[</w:t>
      </w:r>
      <w:r w:rsidR="00F7443A">
        <w:rPr>
          <w:rFonts w:ascii="Arial" w:hAnsi="Arial" w:cs="Arial"/>
          <w:sz w:val="22"/>
          <w:lang w:val="de-DE"/>
        </w:rPr>
        <w:t>5</w:t>
      </w:r>
      <w:r w:rsidRPr="00794FEB">
        <w:rPr>
          <w:rFonts w:ascii="Arial" w:hAnsi="Arial" w:cs="Arial"/>
          <w:sz w:val="22"/>
          <w:lang w:val="de-DE"/>
        </w:rPr>
        <w:t xml:space="preserve">] Siero, F. W., Bakker, A. B., Dekker, G. B., Van Den Burg, M. T. C. 1996. </w:t>
      </w:r>
      <w:r w:rsidRPr="00794FEB">
        <w:rPr>
          <w:rFonts w:ascii="Arial" w:hAnsi="Arial" w:cs="Arial"/>
          <w:sz w:val="22"/>
          <w:lang w:val="en-GB"/>
        </w:rPr>
        <w:t xml:space="preserve">“Changing organizational energy consumption behaviour through comparative feedback.” </w:t>
      </w:r>
      <w:r w:rsidRPr="00794FEB">
        <w:rPr>
          <w:rFonts w:ascii="Arial" w:hAnsi="Arial" w:cs="Arial"/>
          <w:i/>
          <w:sz w:val="22"/>
          <w:lang w:val="en-GB"/>
        </w:rPr>
        <w:t xml:space="preserve">Journal of Environmental Psychology </w:t>
      </w:r>
      <w:r w:rsidRPr="00794FEB">
        <w:rPr>
          <w:rFonts w:ascii="Arial" w:hAnsi="Arial" w:cs="Arial"/>
          <w:sz w:val="22"/>
          <w:lang w:val="en-GB"/>
        </w:rPr>
        <w:t>16 (3), 235–246.</w:t>
      </w:r>
    </w:p>
    <w:p w14:paraId="0EFB47C7" w14:textId="77777777" w:rsidR="00AF133A" w:rsidRPr="00A1152D" w:rsidRDefault="00AF133A" w:rsidP="00AF133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14"/>
          <w:lang w:val="en-GB"/>
        </w:rPr>
      </w:pPr>
    </w:p>
    <w:p w14:paraId="58FD5C3B" w14:textId="2AC039C4" w:rsidR="00AF133A" w:rsidRPr="00794FEB" w:rsidRDefault="00AF133A" w:rsidP="00AF133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w:t>
      </w:r>
      <w:r w:rsidR="00F7443A">
        <w:rPr>
          <w:rFonts w:ascii="Arial" w:hAnsi="Arial" w:cs="Arial"/>
          <w:sz w:val="22"/>
          <w:lang w:val="en-GB"/>
        </w:rPr>
        <w:t>6</w:t>
      </w:r>
      <w:r w:rsidRPr="00794FEB">
        <w:rPr>
          <w:rFonts w:ascii="Arial" w:hAnsi="Arial" w:cs="Arial"/>
          <w:sz w:val="22"/>
          <w:lang w:val="en-GB"/>
        </w:rPr>
        <w:t xml:space="preserve">] </w:t>
      </w:r>
      <w:proofErr w:type="spellStart"/>
      <w:r w:rsidRPr="00794FEB">
        <w:rPr>
          <w:rFonts w:ascii="Arial" w:hAnsi="Arial" w:cs="Arial"/>
          <w:sz w:val="22"/>
          <w:lang w:val="en-GB"/>
        </w:rPr>
        <w:t>Staats</w:t>
      </w:r>
      <w:proofErr w:type="spellEnd"/>
      <w:r w:rsidRPr="00794FEB">
        <w:rPr>
          <w:rFonts w:ascii="Arial" w:hAnsi="Arial" w:cs="Arial"/>
          <w:sz w:val="22"/>
          <w:lang w:val="en-GB"/>
        </w:rPr>
        <w:t xml:space="preserve">, H., van </w:t>
      </w:r>
      <w:proofErr w:type="spellStart"/>
      <w:r w:rsidRPr="00794FEB">
        <w:rPr>
          <w:rFonts w:ascii="Arial" w:hAnsi="Arial" w:cs="Arial"/>
          <w:sz w:val="22"/>
          <w:lang w:val="en-GB"/>
        </w:rPr>
        <w:t>Leeuwen</w:t>
      </w:r>
      <w:proofErr w:type="spellEnd"/>
      <w:r w:rsidRPr="00794FEB">
        <w:rPr>
          <w:rFonts w:ascii="Arial" w:hAnsi="Arial" w:cs="Arial"/>
          <w:sz w:val="22"/>
          <w:lang w:val="en-GB"/>
        </w:rPr>
        <w:t xml:space="preserve">, E., Wit, </w:t>
      </w:r>
      <w:proofErr w:type="gramStart"/>
      <w:r w:rsidRPr="00794FEB">
        <w:rPr>
          <w:rFonts w:ascii="Arial" w:hAnsi="Arial" w:cs="Arial"/>
          <w:sz w:val="22"/>
          <w:lang w:val="en-GB"/>
        </w:rPr>
        <w:t>A</w:t>
      </w:r>
      <w:proofErr w:type="gramEnd"/>
      <w:r w:rsidRPr="00794FEB">
        <w:rPr>
          <w:rFonts w:ascii="Arial" w:hAnsi="Arial" w:cs="Arial"/>
          <w:sz w:val="22"/>
          <w:lang w:val="en-GB"/>
        </w:rPr>
        <w:t xml:space="preserve">. 2000. ”A longitudinal study of informational interventions to save energy in an office building.” </w:t>
      </w:r>
      <w:r w:rsidRPr="00794FEB">
        <w:rPr>
          <w:rFonts w:ascii="Arial" w:hAnsi="Arial" w:cs="Arial"/>
          <w:i/>
          <w:sz w:val="22"/>
          <w:lang w:val="en-GB"/>
        </w:rPr>
        <w:t xml:space="preserve">Journal of Applied </w:t>
      </w:r>
      <w:proofErr w:type="spellStart"/>
      <w:r w:rsidRPr="00794FEB">
        <w:rPr>
          <w:rFonts w:ascii="Arial" w:hAnsi="Arial" w:cs="Arial"/>
          <w:i/>
          <w:sz w:val="22"/>
          <w:lang w:val="en-GB"/>
        </w:rPr>
        <w:t>Behavior</w:t>
      </w:r>
      <w:proofErr w:type="spellEnd"/>
      <w:r w:rsidRPr="00794FEB">
        <w:rPr>
          <w:rFonts w:ascii="Arial" w:hAnsi="Arial" w:cs="Arial"/>
          <w:i/>
          <w:sz w:val="22"/>
          <w:lang w:val="en-GB"/>
        </w:rPr>
        <w:t xml:space="preserve"> Analysis</w:t>
      </w:r>
      <w:r w:rsidRPr="00794FEB">
        <w:rPr>
          <w:rFonts w:ascii="Arial" w:hAnsi="Arial" w:cs="Arial"/>
          <w:sz w:val="22"/>
          <w:lang w:val="en-GB"/>
        </w:rPr>
        <w:t xml:space="preserve"> 33 (1), 101–104.</w:t>
      </w:r>
    </w:p>
    <w:p w14:paraId="0AC83374" w14:textId="77777777" w:rsidR="00B900C1" w:rsidRPr="00A1152D" w:rsidRDefault="00B900C1" w:rsidP="00BE6FCF">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3D6AB1D2" w14:textId="3E0862C0" w:rsidR="00AF133A" w:rsidRPr="00794FEB" w:rsidRDefault="00AF133A" w:rsidP="00AF133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w:t>
      </w:r>
      <w:r w:rsidR="00F7443A">
        <w:rPr>
          <w:rFonts w:ascii="Arial" w:hAnsi="Arial" w:cs="Arial"/>
          <w:sz w:val="22"/>
          <w:lang w:val="en-GB"/>
        </w:rPr>
        <w:t>7</w:t>
      </w:r>
      <w:r w:rsidRPr="00794FEB">
        <w:rPr>
          <w:rFonts w:ascii="Arial" w:hAnsi="Arial" w:cs="Arial"/>
          <w:sz w:val="22"/>
          <w:lang w:val="en-GB"/>
        </w:rPr>
        <w:t xml:space="preserve">] McClelland, L., Cook, S. W. 1980. “Energy-Conservation in University Buildings - Encouraging and Evaluating Reductions in Occupants Electricity Use.” </w:t>
      </w:r>
      <w:r w:rsidRPr="00794FEB">
        <w:rPr>
          <w:rFonts w:ascii="Arial" w:hAnsi="Arial" w:cs="Arial"/>
          <w:i/>
          <w:sz w:val="22"/>
          <w:lang w:val="en-GB"/>
        </w:rPr>
        <w:t>Evaluation Review</w:t>
      </w:r>
      <w:r w:rsidRPr="00794FEB">
        <w:rPr>
          <w:rFonts w:ascii="Arial" w:hAnsi="Arial" w:cs="Arial"/>
          <w:sz w:val="22"/>
          <w:lang w:val="en-GB"/>
        </w:rPr>
        <w:t xml:space="preserve"> 4 (1), 119–133.</w:t>
      </w:r>
    </w:p>
    <w:p w14:paraId="4134A679" w14:textId="77777777" w:rsidR="00AF133A" w:rsidRPr="00A1152D" w:rsidRDefault="00AF133A" w:rsidP="00BE6FCF">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1BE339FD" w14:textId="26E868C4" w:rsidR="00AF133A" w:rsidRPr="00794FEB" w:rsidRDefault="00AF133A" w:rsidP="00BE6FCF">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w:t>
      </w:r>
      <w:r w:rsidR="00F7443A">
        <w:rPr>
          <w:rFonts w:ascii="Arial" w:hAnsi="Arial" w:cs="Arial"/>
          <w:sz w:val="22"/>
          <w:lang w:val="en-GB"/>
        </w:rPr>
        <w:t>8</w:t>
      </w:r>
      <w:r w:rsidRPr="00794FEB">
        <w:rPr>
          <w:rFonts w:ascii="Arial" w:hAnsi="Arial" w:cs="Arial"/>
          <w:sz w:val="22"/>
          <w:lang w:val="en-GB"/>
        </w:rPr>
        <w:t xml:space="preserve">] </w:t>
      </w:r>
      <w:proofErr w:type="spellStart"/>
      <w:r w:rsidRPr="00794FEB">
        <w:rPr>
          <w:rFonts w:ascii="Arial" w:hAnsi="Arial" w:cs="Arial"/>
          <w:sz w:val="22"/>
          <w:lang w:val="en-GB"/>
        </w:rPr>
        <w:t>Murtagh</w:t>
      </w:r>
      <w:proofErr w:type="spellEnd"/>
      <w:r w:rsidRPr="00794FEB">
        <w:rPr>
          <w:rFonts w:ascii="Arial" w:hAnsi="Arial" w:cs="Arial"/>
          <w:sz w:val="22"/>
          <w:lang w:val="en-GB"/>
        </w:rPr>
        <w:t xml:space="preserve">, N., M. </w:t>
      </w:r>
      <w:proofErr w:type="spellStart"/>
      <w:r w:rsidRPr="00794FEB">
        <w:rPr>
          <w:rFonts w:ascii="Arial" w:hAnsi="Arial" w:cs="Arial"/>
          <w:sz w:val="22"/>
          <w:lang w:val="en-GB"/>
        </w:rPr>
        <w:t>Nati</w:t>
      </w:r>
      <w:proofErr w:type="spellEnd"/>
      <w:r w:rsidRPr="00794FEB">
        <w:rPr>
          <w:rFonts w:ascii="Arial" w:hAnsi="Arial" w:cs="Arial"/>
          <w:sz w:val="22"/>
          <w:lang w:val="en-GB"/>
        </w:rPr>
        <w:t xml:space="preserve">, W. R. Headley, B. </w:t>
      </w:r>
      <w:proofErr w:type="spellStart"/>
      <w:r w:rsidRPr="00794FEB">
        <w:rPr>
          <w:rFonts w:ascii="Arial" w:hAnsi="Arial" w:cs="Arial"/>
          <w:sz w:val="22"/>
          <w:lang w:val="en-GB"/>
        </w:rPr>
        <w:t>Gatersleben</w:t>
      </w:r>
      <w:proofErr w:type="spellEnd"/>
      <w:r w:rsidRPr="00794FEB">
        <w:rPr>
          <w:rFonts w:ascii="Arial" w:hAnsi="Arial" w:cs="Arial"/>
          <w:sz w:val="22"/>
          <w:lang w:val="en-GB"/>
        </w:rPr>
        <w:t xml:space="preserve">, A. </w:t>
      </w:r>
      <w:proofErr w:type="spellStart"/>
      <w:r w:rsidRPr="00794FEB">
        <w:rPr>
          <w:rFonts w:ascii="Arial" w:hAnsi="Arial" w:cs="Arial"/>
          <w:sz w:val="22"/>
          <w:lang w:val="en-GB"/>
        </w:rPr>
        <w:t>Gluhak</w:t>
      </w:r>
      <w:proofErr w:type="spellEnd"/>
      <w:r w:rsidRPr="00794FEB">
        <w:rPr>
          <w:rFonts w:ascii="Arial" w:hAnsi="Arial" w:cs="Arial"/>
          <w:sz w:val="22"/>
          <w:lang w:val="en-GB"/>
        </w:rPr>
        <w:t xml:space="preserve">, </w:t>
      </w:r>
      <w:r w:rsidR="009A19B1" w:rsidRPr="00794FEB">
        <w:rPr>
          <w:rFonts w:ascii="Arial" w:hAnsi="Arial" w:cs="Arial"/>
          <w:sz w:val="22"/>
          <w:lang w:val="en-GB"/>
        </w:rPr>
        <w:t xml:space="preserve">M. </w:t>
      </w:r>
      <w:proofErr w:type="spellStart"/>
      <w:r w:rsidR="009A19B1" w:rsidRPr="00794FEB">
        <w:rPr>
          <w:rFonts w:ascii="Arial" w:hAnsi="Arial" w:cs="Arial"/>
          <w:sz w:val="22"/>
          <w:lang w:val="en-GB"/>
        </w:rPr>
        <w:t>AliImran</w:t>
      </w:r>
      <w:proofErr w:type="spellEnd"/>
      <w:r w:rsidR="009A19B1" w:rsidRPr="00794FEB">
        <w:rPr>
          <w:rFonts w:ascii="Arial" w:hAnsi="Arial" w:cs="Arial"/>
          <w:sz w:val="22"/>
          <w:lang w:val="en-GB"/>
        </w:rPr>
        <w:t xml:space="preserve">, D. </w:t>
      </w:r>
      <w:proofErr w:type="spellStart"/>
      <w:r w:rsidR="009A19B1" w:rsidRPr="00794FEB">
        <w:rPr>
          <w:rFonts w:ascii="Arial" w:hAnsi="Arial" w:cs="Arial"/>
          <w:sz w:val="22"/>
          <w:lang w:val="en-GB"/>
        </w:rPr>
        <w:t>Uzzell</w:t>
      </w:r>
      <w:proofErr w:type="spellEnd"/>
      <w:r w:rsidR="009A19B1" w:rsidRPr="00794FEB">
        <w:rPr>
          <w:rFonts w:ascii="Arial" w:hAnsi="Arial" w:cs="Arial"/>
          <w:sz w:val="22"/>
          <w:lang w:val="en-GB"/>
        </w:rPr>
        <w:t xml:space="preserve"> 2013</w:t>
      </w:r>
      <w:r w:rsidRPr="00794FEB">
        <w:rPr>
          <w:rFonts w:ascii="Arial" w:hAnsi="Arial" w:cs="Arial"/>
          <w:sz w:val="22"/>
          <w:lang w:val="en-GB"/>
        </w:rPr>
        <w:t xml:space="preserve">. "Individual energy use and feedback in an office setting: A field trial." </w:t>
      </w:r>
      <w:r w:rsidRPr="00794FEB">
        <w:rPr>
          <w:rFonts w:ascii="Arial" w:hAnsi="Arial" w:cs="Arial"/>
          <w:i/>
          <w:sz w:val="22"/>
          <w:lang w:val="en-GB"/>
        </w:rPr>
        <w:t>Energy Policy</w:t>
      </w:r>
      <w:r w:rsidRPr="00794FEB">
        <w:rPr>
          <w:rFonts w:ascii="Arial" w:hAnsi="Arial" w:cs="Arial"/>
          <w:sz w:val="22"/>
          <w:lang w:val="en-GB"/>
        </w:rPr>
        <w:t xml:space="preserve"> 62(0): 717-728.</w:t>
      </w:r>
    </w:p>
    <w:p w14:paraId="77346411" w14:textId="77777777" w:rsidR="009A19B1" w:rsidRPr="00A1152D" w:rsidRDefault="009A19B1" w:rsidP="00BE6FCF">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2FEFD31E" w14:textId="74C9CF6F" w:rsidR="009A19B1" w:rsidRPr="00794FEB" w:rsidRDefault="009A19B1"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w:t>
      </w:r>
      <w:r w:rsidR="00F7443A">
        <w:rPr>
          <w:rFonts w:ascii="Arial" w:hAnsi="Arial" w:cs="Arial"/>
          <w:sz w:val="22"/>
          <w:lang w:val="en-GB"/>
        </w:rPr>
        <w:t>9</w:t>
      </w:r>
      <w:r w:rsidRPr="00794FEB">
        <w:rPr>
          <w:rFonts w:ascii="Arial" w:hAnsi="Arial" w:cs="Arial"/>
          <w:sz w:val="22"/>
          <w:lang w:val="en-GB"/>
        </w:rPr>
        <w:t xml:space="preserve">] Nye, M., Hargreaves, T. 2009. “Exploring the social dynamics of </w:t>
      </w:r>
      <w:proofErr w:type="spellStart"/>
      <w:r w:rsidRPr="00794FEB">
        <w:rPr>
          <w:rFonts w:ascii="Arial" w:hAnsi="Arial" w:cs="Arial"/>
          <w:sz w:val="22"/>
          <w:lang w:val="en-GB"/>
        </w:rPr>
        <w:t>proenvironmental</w:t>
      </w:r>
      <w:proofErr w:type="spellEnd"/>
    </w:p>
    <w:p w14:paraId="1E82F1F4" w14:textId="77777777" w:rsidR="009A19B1" w:rsidRPr="00794FEB" w:rsidRDefault="009A19B1"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proofErr w:type="spellStart"/>
      <w:proofErr w:type="gramStart"/>
      <w:r w:rsidRPr="00794FEB">
        <w:rPr>
          <w:rFonts w:ascii="Arial" w:hAnsi="Arial" w:cs="Arial"/>
          <w:sz w:val="22"/>
          <w:lang w:val="en-GB"/>
        </w:rPr>
        <w:t>behavior</w:t>
      </w:r>
      <w:proofErr w:type="spellEnd"/>
      <w:proofErr w:type="gramEnd"/>
      <w:r w:rsidRPr="00794FEB">
        <w:rPr>
          <w:rFonts w:ascii="Arial" w:hAnsi="Arial" w:cs="Arial"/>
          <w:sz w:val="22"/>
          <w:lang w:val="en-GB"/>
        </w:rPr>
        <w:t xml:space="preserve"> change.” </w:t>
      </w:r>
      <w:r w:rsidRPr="00794FEB">
        <w:rPr>
          <w:rFonts w:ascii="Arial" w:hAnsi="Arial" w:cs="Arial"/>
          <w:i/>
          <w:sz w:val="22"/>
          <w:lang w:val="en-GB"/>
        </w:rPr>
        <w:t>Journal of Industrial Ecology</w:t>
      </w:r>
      <w:r w:rsidRPr="00794FEB">
        <w:rPr>
          <w:rFonts w:ascii="Arial" w:hAnsi="Arial" w:cs="Arial"/>
          <w:sz w:val="22"/>
          <w:lang w:val="en-GB"/>
        </w:rPr>
        <w:t xml:space="preserve"> 14 (1), 137–149.</w:t>
      </w:r>
    </w:p>
    <w:p w14:paraId="2088DF21" w14:textId="77777777" w:rsidR="009A19B1" w:rsidRPr="00A1152D" w:rsidRDefault="009A19B1"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3DE4C563" w14:textId="7F1A705E" w:rsidR="009A19B1" w:rsidRPr="00794FEB" w:rsidRDefault="009A19B1"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sidRPr="00A1152D">
        <w:rPr>
          <w:rFonts w:ascii="Arial" w:hAnsi="Arial" w:cs="Arial"/>
          <w:sz w:val="22"/>
          <w:szCs w:val="22"/>
          <w:lang w:val="es-MX"/>
        </w:rPr>
        <w:t>[</w:t>
      </w:r>
      <w:r w:rsidR="00F7443A" w:rsidRPr="00A1152D">
        <w:rPr>
          <w:rFonts w:ascii="Arial" w:hAnsi="Arial" w:cs="Arial"/>
          <w:sz w:val="22"/>
          <w:szCs w:val="22"/>
          <w:lang w:val="es-MX"/>
        </w:rPr>
        <w:t>10</w:t>
      </w:r>
      <w:r w:rsidRPr="00A1152D">
        <w:rPr>
          <w:rFonts w:ascii="Arial" w:hAnsi="Arial" w:cs="Arial"/>
          <w:sz w:val="22"/>
          <w:szCs w:val="22"/>
          <w:lang w:val="es-MX"/>
        </w:rPr>
        <w:t xml:space="preserve">] </w:t>
      </w:r>
      <w:proofErr w:type="spellStart"/>
      <w:r w:rsidRPr="00A1152D">
        <w:rPr>
          <w:rFonts w:ascii="Arial" w:hAnsi="Arial" w:cs="Arial"/>
          <w:sz w:val="22"/>
          <w:szCs w:val="22"/>
          <w:lang w:val="es-MX"/>
        </w:rPr>
        <w:t>Carrico</w:t>
      </w:r>
      <w:proofErr w:type="spellEnd"/>
      <w:r w:rsidRPr="00A1152D">
        <w:rPr>
          <w:rFonts w:ascii="Arial" w:hAnsi="Arial" w:cs="Arial"/>
          <w:sz w:val="22"/>
          <w:szCs w:val="22"/>
          <w:lang w:val="es-MX"/>
        </w:rPr>
        <w:t xml:space="preserve">, A. R., </w:t>
      </w:r>
      <w:proofErr w:type="spellStart"/>
      <w:r w:rsidRPr="00A1152D">
        <w:rPr>
          <w:rFonts w:ascii="Arial" w:hAnsi="Arial" w:cs="Arial"/>
          <w:sz w:val="22"/>
          <w:szCs w:val="22"/>
          <w:lang w:val="es-MX"/>
        </w:rPr>
        <w:t>Riemer</w:t>
      </w:r>
      <w:proofErr w:type="spellEnd"/>
      <w:r w:rsidRPr="00A1152D">
        <w:rPr>
          <w:rFonts w:ascii="Arial" w:hAnsi="Arial" w:cs="Arial"/>
          <w:sz w:val="22"/>
          <w:szCs w:val="22"/>
          <w:lang w:val="es-MX"/>
        </w:rPr>
        <w:t xml:space="preserve">, M. 2011. </w:t>
      </w:r>
      <w:r w:rsidRPr="00A1152D">
        <w:rPr>
          <w:rFonts w:ascii="Arial" w:hAnsi="Arial" w:cs="Arial"/>
          <w:sz w:val="22"/>
          <w:szCs w:val="22"/>
          <w:lang w:val="en-GB"/>
        </w:rPr>
        <w:t>“Motivating energy conservation in the workplace: An evaluation of the use of group-level feedback</w:t>
      </w:r>
      <w:r w:rsidRPr="00A1152D">
        <w:rPr>
          <w:rFonts w:ascii="Arial" w:hAnsi="Arial" w:cs="Arial"/>
          <w:lang w:val="en-GB"/>
        </w:rPr>
        <w:t xml:space="preserve"> </w:t>
      </w:r>
      <w:r w:rsidRPr="00794FEB">
        <w:rPr>
          <w:rFonts w:ascii="Arial" w:hAnsi="Arial" w:cs="Arial"/>
          <w:sz w:val="22"/>
          <w:lang w:val="en-GB"/>
        </w:rPr>
        <w:t xml:space="preserve">and peer education.” </w:t>
      </w:r>
      <w:r w:rsidRPr="00794FEB">
        <w:rPr>
          <w:rFonts w:ascii="Arial" w:hAnsi="Arial" w:cs="Arial"/>
          <w:i/>
          <w:sz w:val="22"/>
          <w:lang w:val="en-GB"/>
        </w:rPr>
        <w:t>Journal of Environmental Psychology</w:t>
      </w:r>
      <w:r w:rsidRPr="00794FEB">
        <w:rPr>
          <w:rFonts w:ascii="Arial" w:hAnsi="Arial" w:cs="Arial"/>
          <w:sz w:val="22"/>
          <w:lang w:val="en-GB"/>
        </w:rPr>
        <w:t xml:space="preserve"> 31 (1), 1–13.</w:t>
      </w:r>
    </w:p>
    <w:p w14:paraId="0C753CFC" w14:textId="77777777" w:rsidR="009A19B1" w:rsidRPr="00A1152D" w:rsidRDefault="009A19B1"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08B1571B" w14:textId="59ACFC2F" w:rsidR="009A19B1" w:rsidRPr="00794FEB" w:rsidRDefault="009A19B1"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de-DE"/>
        </w:rPr>
      </w:pPr>
      <w:r w:rsidRPr="00794FEB">
        <w:rPr>
          <w:rFonts w:ascii="Arial" w:hAnsi="Arial" w:cs="Arial"/>
          <w:sz w:val="22"/>
          <w:lang w:val="en-GB"/>
        </w:rPr>
        <w:t>[1</w:t>
      </w:r>
      <w:r w:rsidR="00F7443A">
        <w:rPr>
          <w:rFonts w:ascii="Arial" w:hAnsi="Arial" w:cs="Arial"/>
          <w:sz w:val="22"/>
          <w:lang w:val="en-GB"/>
        </w:rPr>
        <w:t>1</w:t>
      </w:r>
      <w:r w:rsidRPr="00794FEB">
        <w:rPr>
          <w:rFonts w:ascii="Arial" w:hAnsi="Arial" w:cs="Arial"/>
          <w:sz w:val="22"/>
          <w:lang w:val="en-GB"/>
        </w:rPr>
        <w:t xml:space="preserve">] </w:t>
      </w:r>
      <w:proofErr w:type="spellStart"/>
      <w:r w:rsidRPr="00794FEB">
        <w:rPr>
          <w:rFonts w:ascii="Arial" w:hAnsi="Arial" w:cs="Arial"/>
          <w:sz w:val="22"/>
          <w:lang w:val="en-GB"/>
        </w:rPr>
        <w:t>Junnila</w:t>
      </w:r>
      <w:proofErr w:type="spellEnd"/>
      <w:r w:rsidRPr="00794FEB">
        <w:rPr>
          <w:rFonts w:ascii="Arial" w:hAnsi="Arial" w:cs="Arial"/>
          <w:sz w:val="22"/>
          <w:lang w:val="en-GB"/>
        </w:rPr>
        <w:t>, S., 2007. “The pot</w:t>
      </w:r>
      <w:bookmarkStart w:id="0" w:name="_GoBack"/>
      <w:bookmarkEnd w:id="0"/>
      <w:r w:rsidRPr="00794FEB">
        <w:rPr>
          <w:rFonts w:ascii="Arial" w:hAnsi="Arial" w:cs="Arial"/>
          <w:sz w:val="22"/>
          <w:lang w:val="en-GB"/>
        </w:rPr>
        <w:t xml:space="preserve">ential effect of end-users on energy conservation in office buildings.” </w:t>
      </w:r>
      <w:r w:rsidRPr="00794FEB">
        <w:rPr>
          <w:rFonts w:ascii="Arial" w:hAnsi="Arial" w:cs="Arial"/>
          <w:i/>
          <w:sz w:val="22"/>
          <w:lang w:val="de-DE"/>
        </w:rPr>
        <w:t>Facilities</w:t>
      </w:r>
      <w:r w:rsidRPr="00794FEB">
        <w:rPr>
          <w:rFonts w:ascii="Arial" w:hAnsi="Arial" w:cs="Arial"/>
          <w:sz w:val="22"/>
          <w:lang w:val="de-DE"/>
        </w:rPr>
        <w:t xml:space="preserve"> 25 (7), 329–339.</w:t>
      </w:r>
    </w:p>
    <w:p w14:paraId="16676C32" w14:textId="77777777" w:rsidR="009A19B1" w:rsidRPr="00A1152D" w:rsidRDefault="009A19B1"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de-DE"/>
        </w:rPr>
      </w:pPr>
    </w:p>
    <w:p w14:paraId="18AE7549" w14:textId="07DD75A8" w:rsidR="009A19B1" w:rsidRPr="00794FEB" w:rsidRDefault="009A19B1"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de-DE"/>
        </w:rPr>
      </w:pPr>
      <w:r w:rsidRPr="00794FEB">
        <w:rPr>
          <w:rFonts w:ascii="Arial" w:hAnsi="Arial" w:cs="Arial"/>
          <w:sz w:val="22"/>
          <w:lang w:val="de-DE"/>
        </w:rPr>
        <w:t>[1</w:t>
      </w:r>
      <w:r w:rsidR="00F7443A">
        <w:rPr>
          <w:rFonts w:ascii="Arial" w:hAnsi="Arial" w:cs="Arial"/>
          <w:sz w:val="22"/>
          <w:lang w:val="de-DE"/>
        </w:rPr>
        <w:t>2</w:t>
      </w:r>
      <w:r w:rsidRPr="00794FEB">
        <w:rPr>
          <w:rFonts w:ascii="Arial" w:hAnsi="Arial" w:cs="Arial"/>
          <w:sz w:val="22"/>
          <w:lang w:val="de-DE"/>
        </w:rPr>
        <w:t xml:space="preserve">] Kattenstein, T., Unger, H., Wagner, H. 2002. </w:t>
      </w:r>
      <w:r w:rsidR="00B82E6E" w:rsidRPr="00794FEB">
        <w:rPr>
          <w:rFonts w:ascii="Arial" w:hAnsi="Arial" w:cs="Arial"/>
          <w:sz w:val="22"/>
          <w:lang w:val="de-DE"/>
        </w:rPr>
        <w:t>„</w:t>
      </w:r>
      <w:r w:rsidRPr="00794FEB">
        <w:rPr>
          <w:rFonts w:ascii="Arial" w:hAnsi="Arial" w:cs="Arial"/>
          <w:sz w:val="22"/>
          <w:lang w:val="de-DE"/>
        </w:rPr>
        <w:t>Handlungskonzepte zur</w:t>
      </w:r>
      <w:r w:rsidR="00B82E6E" w:rsidRPr="00794FEB">
        <w:rPr>
          <w:rFonts w:ascii="Arial" w:hAnsi="Arial" w:cs="Arial"/>
          <w:sz w:val="22"/>
          <w:lang w:val="de-DE"/>
        </w:rPr>
        <w:t xml:space="preserve"> </w:t>
      </w:r>
      <w:r w:rsidRPr="00794FEB">
        <w:rPr>
          <w:rFonts w:ascii="Arial" w:hAnsi="Arial" w:cs="Arial"/>
          <w:sz w:val="22"/>
          <w:lang w:val="de-DE"/>
        </w:rPr>
        <w:t>Optimierung des Energiebedarfs und der Energieversorgung der Ruhr-</w:t>
      </w:r>
      <w:r w:rsidR="00B82E6E" w:rsidRPr="00794FEB">
        <w:rPr>
          <w:rFonts w:ascii="Arial" w:hAnsi="Arial" w:cs="Arial"/>
          <w:sz w:val="22"/>
          <w:lang w:val="de-DE"/>
        </w:rPr>
        <w:t xml:space="preserve">Universität Bochum“ </w:t>
      </w:r>
      <w:r w:rsidRPr="00794FEB">
        <w:rPr>
          <w:rFonts w:ascii="Arial" w:hAnsi="Arial" w:cs="Arial"/>
          <w:i/>
          <w:sz w:val="22"/>
          <w:lang w:val="de-DE"/>
        </w:rPr>
        <w:t>Abschlussbericht zum Vorhaben: IV A4-20600298</w:t>
      </w:r>
      <w:r w:rsidR="00B82E6E" w:rsidRPr="00794FEB">
        <w:rPr>
          <w:rFonts w:ascii="Arial" w:hAnsi="Arial" w:cs="Arial"/>
          <w:i/>
          <w:sz w:val="22"/>
          <w:lang w:val="de-DE"/>
        </w:rPr>
        <w:t xml:space="preserve"> </w:t>
      </w:r>
      <w:r w:rsidRPr="00794FEB">
        <w:rPr>
          <w:rFonts w:ascii="Arial" w:hAnsi="Arial" w:cs="Arial"/>
          <w:i/>
          <w:sz w:val="22"/>
          <w:lang w:val="de-DE"/>
        </w:rPr>
        <w:t>Optimierung der bestehenden wirtschaftlichen Energieversorgung der Ruhr-</w:t>
      </w:r>
      <w:r w:rsidR="00B82E6E" w:rsidRPr="00794FEB">
        <w:rPr>
          <w:rFonts w:ascii="Arial" w:hAnsi="Arial" w:cs="Arial"/>
          <w:i/>
          <w:sz w:val="22"/>
          <w:lang w:val="de-DE"/>
        </w:rPr>
        <w:t xml:space="preserve">Universität Bochum (in German). </w:t>
      </w:r>
      <w:r w:rsidR="00B82E6E" w:rsidRPr="00794FEB">
        <w:rPr>
          <w:rFonts w:ascii="Arial" w:hAnsi="Arial" w:cs="Arial"/>
          <w:sz w:val="22"/>
          <w:lang w:val="de-DE"/>
        </w:rPr>
        <w:t xml:space="preserve">Ruhr-Universität: </w:t>
      </w:r>
      <w:r w:rsidRPr="00794FEB">
        <w:rPr>
          <w:rFonts w:ascii="Arial" w:hAnsi="Arial" w:cs="Arial"/>
          <w:sz w:val="22"/>
          <w:lang w:val="de-DE"/>
        </w:rPr>
        <w:t>Lehrstuhl für Energiesysteme</w:t>
      </w:r>
      <w:r w:rsidR="00B82E6E" w:rsidRPr="00794FEB">
        <w:rPr>
          <w:rFonts w:ascii="Arial" w:hAnsi="Arial" w:cs="Arial"/>
          <w:sz w:val="22"/>
          <w:lang w:val="de-DE"/>
        </w:rPr>
        <w:t xml:space="preserve"> und Energiewirtschaft. </w:t>
      </w:r>
    </w:p>
    <w:p w14:paraId="77D6310E" w14:textId="77777777" w:rsidR="005D157B" w:rsidRPr="00A1152D" w:rsidRDefault="005D157B"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de-DE"/>
        </w:rPr>
      </w:pPr>
    </w:p>
    <w:p w14:paraId="6F24E77C" w14:textId="11080B83" w:rsidR="005D157B" w:rsidRPr="00794FEB" w:rsidRDefault="005D157B"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de-DE"/>
        </w:rPr>
        <w:t>[1</w:t>
      </w:r>
      <w:r w:rsidR="00F7443A">
        <w:rPr>
          <w:rFonts w:ascii="Arial" w:hAnsi="Arial" w:cs="Arial"/>
          <w:sz w:val="22"/>
          <w:lang w:val="de-DE"/>
        </w:rPr>
        <w:t>3</w:t>
      </w:r>
      <w:r w:rsidRPr="00794FEB">
        <w:rPr>
          <w:rFonts w:ascii="Arial" w:hAnsi="Arial" w:cs="Arial"/>
          <w:sz w:val="22"/>
          <w:lang w:val="de-DE"/>
        </w:rPr>
        <w:t xml:space="preserve">] Abrahamse, W., L. Steg 2013. </w:t>
      </w:r>
      <w:r w:rsidRPr="00794FEB">
        <w:rPr>
          <w:rFonts w:ascii="Arial" w:hAnsi="Arial" w:cs="Arial"/>
          <w:sz w:val="22"/>
          <w:lang w:val="en-GB"/>
        </w:rPr>
        <w:t xml:space="preserve">"Social influence approaches to encourage resource conservation: A meta-analysis." </w:t>
      </w:r>
      <w:r w:rsidRPr="002352CD">
        <w:rPr>
          <w:rFonts w:ascii="Arial" w:hAnsi="Arial" w:cs="Arial"/>
          <w:i/>
          <w:sz w:val="22"/>
          <w:lang w:val="en-GB"/>
        </w:rPr>
        <w:t>Global Env</w:t>
      </w:r>
      <w:r w:rsidRPr="00794FEB">
        <w:rPr>
          <w:rFonts w:ascii="Arial" w:hAnsi="Arial" w:cs="Arial"/>
          <w:i/>
          <w:sz w:val="22"/>
          <w:lang w:val="en-GB"/>
        </w:rPr>
        <w:t>ironmental Change</w:t>
      </w:r>
      <w:r w:rsidRPr="00794FEB">
        <w:rPr>
          <w:rFonts w:ascii="Arial" w:hAnsi="Arial" w:cs="Arial"/>
          <w:sz w:val="22"/>
          <w:lang w:val="en-GB"/>
        </w:rPr>
        <w:t xml:space="preserve"> 23(6): 1773-1785.</w:t>
      </w:r>
    </w:p>
    <w:p w14:paraId="75D1748F" w14:textId="77777777" w:rsidR="000675FD" w:rsidRPr="00A1152D" w:rsidRDefault="000675FD"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7F717D2B" w14:textId="456352CA" w:rsidR="000675FD" w:rsidRPr="00794FEB" w:rsidRDefault="000675FD"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[1</w:t>
      </w:r>
      <w:r w:rsidR="00F7443A">
        <w:rPr>
          <w:rFonts w:ascii="Arial" w:hAnsi="Arial" w:cs="Arial"/>
          <w:sz w:val="22"/>
          <w:lang w:val="en-GB"/>
        </w:rPr>
        <w:t>4</w:t>
      </w:r>
      <w:r w:rsidRPr="00794FEB">
        <w:rPr>
          <w:rFonts w:ascii="Arial" w:hAnsi="Arial" w:cs="Arial"/>
          <w:sz w:val="22"/>
          <w:lang w:val="en-GB"/>
        </w:rPr>
        <w:t xml:space="preserve">] Cox, A., T. Higgins, R. </w:t>
      </w:r>
      <w:proofErr w:type="spellStart"/>
      <w:r w:rsidRPr="00794FEB">
        <w:rPr>
          <w:rFonts w:ascii="Arial" w:hAnsi="Arial" w:cs="Arial"/>
          <w:sz w:val="22"/>
          <w:lang w:val="en-GB"/>
        </w:rPr>
        <w:t>Gloster</w:t>
      </w:r>
      <w:proofErr w:type="spellEnd"/>
      <w:r w:rsidRPr="00794FEB">
        <w:rPr>
          <w:rFonts w:ascii="Arial" w:hAnsi="Arial" w:cs="Arial"/>
          <w:sz w:val="22"/>
          <w:lang w:val="en-GB"/>
        </w:rPr>
        <w:t xml:space="preserve">, B. Foley, A. </w:t>
      </w:r>
      <w:proofErr w:type="spellStart"/>
      <w:r w:rsidRPr="00794FEB">
        <w:rPr>
          <w:rFonts w:ascii="Arial" w:hAnsi="Arial" w:cs="Arial"/>
          <w:sz w:val="22"/>
          <w:lang w:val="en-GB"/>
        </w:rPr>
        <w:t>Darnton</w:t>
      </w:r>
      <w:proofErr w:type="spellEnd"/>
      <w:r w:rsidRPr="00794FEB">
        <w:rPr>
          <w:rFonts w:ascii="Arial" w:hAnsi="Arial" w:cs="Arial"/>
          <w:sz w:val="22"/>
          <w:lang w:val="en-GB"/>
        </w:rPr>
        <w:t xml:space="preserve"> 2012. “The Impact of Workplace Initiatives on Low Carbon Behaviours.” </w:t>
      </w:r>
      <w:r w:rsidRPr="00794FEB">
        <w:rPr>
          <w:rFonts w:ascii="Arial" w:hAnsi="Arial" w:cs="Arial"/>
          <w:i/>
          <w:sz w:val="22"/>
          <w:lang w:val="en-GB"/>
        </w:rPr>
        <w:t xml:space="preserve">Scottish Government Social Research. </w:t>
      </w:r>
      <w:r w:rsidRPr="00794FEB">
        <w:rPr>
          <w:rFonts w:ascii="Arial" w:hAnsi="Arial" w:cs="Arial"/>
          <w:sz w:val="22"/>
          <w:lang w:val="en-GB"/>
        </w:rPr>
        <w:t xml:space="preserve">London: Crown. </w:t>
      </w:r>
    </w:p>
    <w:p w14:paraId="3FDBD820" w14:textId="77777777" w:rsidR="00F5612D" w:rsidRPr="00A1152D" w:rsidRDefault="00F5612D" w:rsidP="009A19B1">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6FFF270D" w14:textId="5D3AFD3D" w:rsidR="00F5612D" w:rsidRPr="00794FEB" w:rsidRDefault="00F5612D"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[1</w:t>
      </w:r>
      <w:r w:rsidR="00F7443A">
        <w:rPr>
          <w:rFonts w:ascii="Arial" w:hAnsi="Arial" w:cs="Arial"/>
          <w:sz w:val="22"/>
          <w:lang w:val="en-GB"/>
        </w:rPr>
        <w:t>5</w:t>
      </w:r>
      <w:r w:rsidRPr="00794FEB">
        <w:rPr>
          <w:rFonts w:ascii="Arial" w:hAnsi="Arial" w:cs="Arial"/>
          <w:sz w:val="22"/>
          <w:lang w:val="en-GB"/>
        </w:rPr>
        <w:t xml:space="preserve">] </w:t>
      </w:r>
      <w:proofErr w:type="spellStart"/>
      <w:r w:rsidRPr="00794FEB">
        <w:rPr>
          <w:rFonts w:ascii="Arial" w:hAnsi="Arial" w:cs="Arial"/>
          <w:sz w:val="22"/>
          <w:lang w:val="en-GB"/>
        </w:rPr>
        <w:t>Shadish</w:t>
      </w:r>
      <w:proofErr w:type="spellEnd"/>
      <w:r w:rsidRPr="00794FEB">
        <w:rPr>
          <w:rFonts w:ascii="Arial" w:hAnsi="Arial" w:cs="Arial"/>
          <w:sz w:val="22"/>
          <w:lang w:val="en-GB"/>
        </w:rPr>
        <w:t>, W. R., Cook, T., Campbell, D. 2001. “Experimental and quasi-experimental</w:t>
      </w:r>
    </w:p>
    <w:p w14:paraId="2A8A1F5A" w14:textId="77777777" w:rsidR="00F5612D" w:rsidRDefault="00F5612D"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proofErr w:type="gramStart"/>
      <w:r w:rsidRPr="00794FEB">
        <w:rPr>
          <w:rFonts w:ascii="Arial" w:hAnsi="Arial" w:cs="Arial"/>
          <w:sz w:val="22"/>
          <w:lang w:val="en-GB"/>
        </w:rPr>
        <w:t>designs</w:t>
      </w:r>
      <w:proofErr w:type="gramEnd"/>
      <w:r w:rsidRPr="00794FEB">
        <w:rPr>
          <w:rFonts w:ascii="Arial" w:hAnsi="Arial" w:cs="Arial"/>
          <w:sz w:val="22"/>
          <w:lang w:val="en-GB"/>
        </w:rPr>
        <w:t xml:space="preserve"> for generalized causal inference.” New York: Houghton Mifflin. </w:t>
      </w:r>
    </w:p>
    <w:p w14:paraId="63E68ACE" w14:textId="77777777" w:rsidR="0056456A" w:rsidRPr="00A1152D" w:rsidRDefault="0056456A"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1E67E7A4" w14:textId="492A543C" w:rsidR="0056456A" w:rsidRDefault="0056456A"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Pr>
          <w:rFonts w:ascii="Arial" w:hAnsi="Arial" w:cs="Arial"/>
          <w:sz w:val="22"/>
          <w:lang w:val="en-GB"/>
        </w:rPr>
        <w:t xml:space="preserve">[16] </w:t>
      </w:r>
      <w:r w:rsidRPr="0056456A">
        <w:rPr>
          <w:rFonts w:ascii="Arial" w:hAnsi="Arial" w:cs="Arial"/>
          <w:sz w:val="22"/>
          <w:lang w:val="en-GB"/>
        </w:rPr>
        <w:t xml:space="preserve">Bicknell, C. and L. A. </w:t>
      </w:r>
      <w:proofErr w:type="spellStart"/>
      <w:r w:rsidRPr="0056456A">
        <w:rPr>
          <w:rFonts w:ascii="Arial" w:hAnsi="Arial" w:cs="Arial"/>
          <w:sz w:val="22"/>
          <w:lang w:val="en-GB"/>
        </w:rPr>
        <w:t>Skumatz</w:t>
      </w:r>
      <w:proofErr w:type="spellEnd"/>
      <w:r w:rsidRPr="0056456A">
        <w:rPr>
          <w:rFonts w:ascii="Arial" w:hAnsi="Arial" w:cs="Arial"/>
          <w:sz w:val="22"/>
          <w:lang w:val="en-GB"/>
        </w:rPr>
        <w:t xml:space="preserve"> (2004). Non-Energy Benefits (NEBs) in the Commercial Sector: Results from Hundreds of Buildings. </w:t>
      </w:r>
      <w:proofErr w:type="gramStart"/>
      <w:r w:rsidRPr="0056456A">
        <w:rPr>
          <w:rFonts w:ascii="Arial" w:hAnsi="Arial" w:cs="Arial"/>
          <w:sz w:val="22"/>
          <w:lang w:val="en-GB"/>
        </w:rPr>
        <w:t>ACEEE Summer Study on Energy Efficiency in Buildings.</w:t>
      </w:r>
      <w:proofErr w:type="gramEnd"/>
    </w:p>
    <w:p w14:paraId="316E60E5" w14:textId="77777777" w:rsidR="0056456A" w:rsidRPr="00A1152D" w:rsidRDefault="0056456A"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72880D93" w14:textId="4B5218D4" w:rsidR="0056456A" w:rsidRPr="00794FEB" w:rsidRDefault="0056456A"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Pr>
          <w:rFonts w:ascii="Arial" w:hAnsi="Arial" w:cs="Arial"/>
          <w:sz w:val="22"/>
          <w:lang w:val="en-GB"/>
        </w:rPr>
        <w:t>[17] Carbon Trust</w:t>
      </w:r>
      <w:r w:rsidRPr="0056456A">
        <w:rPr>
          <w:rFonts w:ascii="Arial" w:hAnsi="Arial" w:cs="Arial"/>
          <w:sz w:val="22"/>
          <w:lang w:val="en-GB"/>
        </w:rPr>
        <w:t xml:space="preserve"> (2010). </w:t>
      </w:r>
      <w:r>
        <w:rPr>
          <w:rFonts w:ascii="Arial" w:hAnsi="Arial" w:cs="Arial"/>
          <w:sz w:val="22"/>
          <w:lang w:val="en-GB"/>
        </w:rPr>
        <w:t>“</w:t>
      </w:r>
      <w:r w:rsidRPr="0056456A">
        <w:rPr>
          <w:rFonts w:ascii="Arial" w:hAnsi="Arial" w:cs="Arial"/>
          <w:sz w:val="22"/>
          <w:lang w:val="en-GB"/>
        </w:rPr>
        <w:t>Hospitals. Healthy budgets through energy efficiency.</w:t>
      </w:r>
      <w:r>
        <w:rPr>
          <w:rFonts w:ascii="Arial" w:hAnsi="Arial" w:cs="Arial"/>
          <w:sz w:val="22"/>
          <w:lang w:val="en-GB"/>
        </w:rPr>
        <w:t>”</w:t>
      </w:r>
      <w:r w:rsidRPr="0056456A">
        <w:rPr>
          <w:rFonts w:ascii="Arial" w:hAnsi="Arial" w:cs="Arial"/>
          <w:sz w:val="22"/>
          <w:lang w:val="en-GB"/>
        </w:rPr>
        <w:t xml:space="preserve"> London, HMSO.</w:t>
      </w:r>
    </w:p>
    <w:p w14:paraId="0FE17C77" w14:textId="77777777" w:rsidR="0086495E" w:rsidRPr="00A1152D" w:rsidRDefault="0086495E"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5870A09E" w14:textId="57FC2147" w:rsidR="009C4AF0" w:rsidRPr="00794FEB" w:rsidRDefault="0086495E"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[1</w:t>
      </w:r>
      <w:r w:rsidR="0056456A">
        <w:rPr>
          <w:rFonts w:ascii="Arial" w:hAnsi="Arial" w:cs="Arial"/>
          <w:sz w:val="22"/>
          <w:lang w:val="en-GB"/>
        </w:rPr>
        <w:t>8</w:t>
      </w:r>
      <w:r w:rsidRPr="00794FEB">
        <w:rPr>
          <w:rFonts w:ascii="Arial" w:hAnsi="Arial" w:cs="Arial"/>
          <w:sz w:val="22"/>
          <w:lang w:val="en-GB"/>
        </w:rPr>
        <w:t xml:space="preserve">] Efficiency Valuation Organisation 2007. “International Performance Measurement and Verification Protocol” San Francisco, CA: Efficiency Valuation Organisation. </w:t>
      </w:r>
    </w:p>
    <w:p w14:paraId="73CEC0DC" w14:textId="77777777" w:rsidR="006E0D39" w:rsidRPr="00A1152D" w:rsidRDefault="006E0D39" w:rsidP="00F5612D">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14"/>
          <w:lang w:val="en-GB"/>
        </w:rPr>
      </w:pPr>
    </w:p>
    <w:p w14:paraId="5DC9B49A" w14:textId="4909D974" w:rsidR="006E0D39" w:rsidRPr="00794FEB" w:rsidRDefault="006E0D39" w:rsidP="006E0D39">
      <w:pPr>
        <w:widowControl/>
        <w:tabs>
          <w:tab w:val="center" w:pos="4968"/>
          <w:tab w:val="left" w:pos="5047"/>
          <w:tab w:val="left" w:pos="5768"/>
          <w:tab w:val="left" w:pos="6489"/>
          <w:tab w:val="left" w:pos="7210"/>
          <w:tab w:val="left" w:pos="7931"/>
          <w:tab w:val="left" w:pos="8652"/>
          <w:tab w:val="left" w:pos="9373"/>
        </w:tabs>
        <w:jc w:val="both"/>
        <w:rPr>
          <w:rFonts w:ascii="Arial" w:hAnsi="Arial" w:cs="Arial"/>
          <w:sz w:val="22"/>
          <w:lang w:val="en-GB"/>
        </w:rPr>
      </w:pPr>
      <w:r w:rsidRPr="00794FEB">
        <w:rPr>
          <w:rFonts w:ascii="Arial" w:hAnsi="Arial" w:cs="Arial"/>
          <w:sz w:val="22"/>
          <w:lang w:val="en-GB"/>
        </w:rPr>
        <w:t>[1</w:t>
      </w:r>
      <w:r w:rsidR="0056456A">
        <w:rPr>
          <w:rFonts w:ascii="Arial" w:hAnsi="Arial" w:cs="Arial"/>
          <w:sz w:val="22"/>
          <w:lang w:val="en-GB"/>
        </w:rPr>
        <w:t>9</w:t>
      </w:r>
      <w:r w:rsidRPr="00794FEB">
        <w:rPr>
          <w:rFonts w:ascii="Arial" w:hAnsi="Arial" w:cs="Arial"/>
          <w:sz w:val="22"/>
          <w:lang w:val="en-GB"/>
        </w:rPr>
        <w:t>] Ucci, M</w:t>
      </w:r>
      <w:r w:rsidR="000708F3" w:rsidRPr="00794FEB">
        <w:rPr>
          <w:rFonts w:ascii="Arial" w:hAnsi="Arial" w:cs="Arial"/>
          <w:sz w:val="22"/>
          <w:lang w:val="en-GB"/>
        </w:rPr>
        <w:t xml:space="preserve">., Domenech, T., Ball, A., Whitley, T., Wright, C., Mason, D., </w:t>
      </w:r>
      <w:proofErr w:type="spellStart"/>
      <w:r w:rsidR="000708F3" w:rsidRPr="00794FEB">
        <w:rPr>
          <w:rFonts w:ascii="Arial" w:hAnsi="Arial" w:cs="Arial"/>
          <w:sz w:val="22"/>
          <w:lang w:val="en-GB"/>
        </w:rPr>
        <w:t>Corrin</w:t>
      </w:r>
      <w:proofErr w:type="spellEnd"/>
      <w:r w:rsidR="000708F3" w:rsidRPr="00794FEB">
        <w:rPr>
          <w:rFonts w:ascii="Arial" w:hAnsi="Arial" w:cs="Arial"/>
          <w:sz w:val="22"/>
          <w:lang w:val="en-GB"/>
        </w:rPr>
        <w:t xml:space="preserve">, K., Milligan, A., Rogers, A., Fitzsimons, D., </w:t>
      </w:r>
      <w:proofErr w:type="spellStart"/>
      <w:r w:rsidR="000708F3" w:rsidRPr="00794FEB">
        <w:rPr>
          <w:rFonts w:ascii="Arial" w:hAnsi="Arial" w:cs="Arial"/>
          <w:sz w:val="22"/>
          <w:lang w:val="en-GB"/>
        </w:rPr>
        <w:t>Gaggero</w:t>
      </w:r>
      <w:proofErr w:type="spellEnd"/>
      <w:r w:rsidR="000708F3" w:rsidRPr="00794FEB">
        <w:rPr>
          <w:rFonts w:ascii="Arial" w:hAnsi="Arial" w:cs="Arial"/>
          <w:sz w:val="22"/>
          <w:lang w:val="en-GB"/>
        </w:rPr>
        <w:t xml:space="preserve">, C., </w:t>
      </w:r>
      <w:proofErr w:type="spellStart"/>
      <w:r w:rsidR="000708F3" w:rsidRPr="00794FEB">
        <w:rPr>
          <w:rFonts w:ascii="Arial" w:hAnsi="Arial" w:cs="Arial"/>
          <w:sz w:val="22"/>
          <w:lang w:val="en-GB"/>
        </w:rPr>
        <w:t>Westaway</w:t>
      </w:r>
      <w:proofErr w:type="spellEnd"/>
      <w:r w:rsidR="000708F3" w:rsidRPr="00794FEB">
        <w:rPr>
          <w:rFonts w:ascii="Arial" w:hAnsi="Arial" w:cs="Arial"/>
          <w:sz w:val="22"/>
          <w:lang w:val="en-GB"/>
        </w:rPr>
        <w:t>, A. 2014. “</w:t>
      </w:r>
      <w:r w:rsidRPr="00794FEB">
        <w:rPr>
          <w:rFonts w:ascii="Arial" w:hAnsi="Arial" w:cs="Arial"/>
          <w:sz w:val="22"/>
          <w:lang w:val="en-GB"/>
        </w:rPr>
        <w:t>Behaviour change potential for energy saving in non-domestic buildings: Development and pilot-testing of a benchmarking tool</w:t>
      </w:r>
      <w:r w:rsidR="000708F3" w:rsidRPr="00794FEB">
        <w:rPr>
          <w:rFonts w:ascii="Arial" w:hAnsi="Arial" w:cs="Arial"/>
          <w:sz w:val="22"/>
          <w:lang w:val="en-GB"/>
        </w:rPr>
        <w:t>”</w:t>
      </w:r>
      <w:r w:rsidRPr="00794FEB">
        <w:rPr>
          <w:rFonts w:ascii="Arial" w:hAnsi="Arial" w:cs="Arial"/>
          <w:sz w:val="22"/>
          <w:lang w:val="en-GB"/>
        </w:rPr>
        <w:t xml:space="preserve"> </w:t>
      </w:r>
      <w:r w:rsidRPr="00794FEB">
        <w:rPr>
          <w:rFonts w:ascii="Arial" w:hAnsi="Arial" w:cs="Arial"/>
          <w:i/>
          <w:sz w:val="22"/>
          <w:lang w:val="en-GB"/>
        </w:rPr>
        <w:t>Building Services Engineering Research and Technology</w:t>
      </w:r>
      <w:r w:rsidRPr="00794FEB">
        <w:rPr>
          <w:rFonts w:ascii="Arial" w:hAnsi="Arial" w:cs="Arial"/>
          <w:sz w:val="22"/>
          <w:lang w:val="en-GB"/>
        </w:rPr>
        <w:t xml:space="preserve"> 35: 36-52, first published </w:t>
      </w:r>
      <w:r w:rsidR="000708F3" w:rsidRPr="00794FEB">
        <w:rPr>
          <w:rFonts w:ascii="Arial" w:hAnsi="Arial" w:cs="Arial"/>
          <w:sz w:val="22"/>
          <w:lang w:val="en-GB"/>
        </w:rPr>
        <w:t xml:space="preserve">online </w:t>
      </w:r>
      <w:r w:rsidRPr="00794FEB">
        <w:rPr>
          <w:rFonts w:ascii="Arial" w:hAnsi="Arial" w:cs="Arial"/>
          <w:sz w:val="22"/>
          <w:lang w:val="en-GB"/>
        </w:rPr>
        <w:t>on November 13, 2012 doi</w:t>
      </w:r>
      <w:proofErr w:type="gramStart"/>
      <w:r w:rsidRPr="00794FEB">
        <w:rPr>
          <w:rFonts w:ascii="Arial" w:hAnsi="Arial" w:cs="Arial"/>
          <w:sz w:val="22"/>
          <w:lang w:val="en-GB"/>
        </w:rPr>
        <w:t>:10.1177</w:t>
      </w:r>
      <w:proofErr w:type="gramEnd"/>
      <w:r w:rsidRPr="00794FEB">
        <w:rPr>
          <w:rFonts w:ascii="Arial" w:hAnsi="Arial" w:cs="Arial"/>
          <w:sz w:val="22"/>
          <w:lang w:val="en-GB"/>
        </w:rPr>
        <w:t>/0143624412466559</w:t>
      </w:r>
    </w:p>
    <w:sectPr w:rsidR="006E0D39" w:rsidRPr="00794FEB" w:rsidSect="00082AE3">
      <w:footerReference w:type="default" r:id="rId10"/>
      <w:pgSz w:w="12240" w:h="15840" w:code="1"/>
      <w:pgMar w:top="1152" w:right="1080" w:bottom="1152" w:left="1224" w:header="1152" w:footer="862"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0F67B" w15:done="0"/>
  <w15:commentEx w15:paraId="4F4CA2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5C458" w14:textId="77777777" w:rsidR="00E2783D" w:rsidRDefault="00E2783D">
      <w:r>
        <w:separator/>
      </w:r>
    </w:p>
  </w:endnote>
  <w:endnote w:type="continuationSeparator" w:id="0">
    <w:p w14:paraId="64FA8AAD" w14:textId="77777777" w:rsidR="00E2783D" w:rsidRDefault="00E2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ED6E" w14:textId="77777777" w:rsidR="00E73141" w:rsidRPr="00082AE3" w:rsidRDefault="001B30E4" w:rsidP="00082AE3">
    <w:pPr>
      <w:pStyle w:val="Footer"/>
      <w:pBdr>
        <w:top w:val="single" w:sz="4" w:space="1" w:color="auto"/>
      </w:pBdr>
      <w:tabs>
        <w:tab w:val="clear" w:pos="8640"/>
        <w:tab w:val="right" w:pos="9990"/>
      </w:tabs>
      <w:rPr>
        <w:rFonts w:ascii="Arial" w:hAnsi="Arial" w:cs="Arial"/>
        <w:b/>
        <w:sz w:val="16"/>
        <w:szCs w:val="16"/>
      </w:rPr>
    </w:pPr>
    <w:r>
      <w:rPr>
        <w:rFonts w:ascii="Arial" w:hAnsi="Arial" w:cs="Arial"/>
        <w:b/>
        <w:sz w:val="16"/>
        <w:szCs w:val="16"/>
      </w:rPr>
      <w:t>BEHAVE2014 – Behavior and Energy Efficiency Conference</w:t>
    </w:r>
    <w:r w:rsidR="00E73141">
      <w:rPr>
        <w:rFonts w:ascii="Arial" w:hAnsi="Arial" w:cs="Arial"/>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7A68C" w14:textId="77777777" w:rsidR="00E2783D" w:rsidRDefault="00E2783D">
      <w:r>
        <w:separator/>
      </w:r>
    </w:p>
  </w:footnote>
  <w:footnote w:type="continuationSeparator" w:id="0">
    <w:p w14:paraId="707AA57F" w14:textId="77777777" w:rsidR="00E2783D" w:rsidRDefault="00E2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366534"/>
    <w:lvl w:ilvl="0">
      <w:start w:val="1"/>
      <w:numFmt w:val="decimal"/>
      <w:lvlText w:val="%1."/>
      <w:lvlJc w:val="left"/>
      <w:pPr>
        <w:tabs>
          <w:tab w:val="num" w:pos="1800"/>
        </w:tabs>
        <w:ind w:left="1800" w:hanging="360"/>
      </w:pPr>
    </w:lvl>
  </w:abstractNum>
  <w:abstractNum w:abstractNumId="1">
    <w:nsid w:val="FFFFFF7D"/>
    <w:multiLevelType w:val="singleLevel"/>
    <w:tmpl w:val="B67AF1D6"/>
    <w:lvl w:ilvl="0">
      <w:start w:val="1"/>
      <w:numFmt w:val="decimal"/>
      <w:lvlText w:val="%1."/>
      <w:lvlJc w:val="left"/>
      <w:pPr>
        <w:tabs>
          <w:tab w:val="num" w:pos="1440"/>
        </w:tabs>
        <w:ind w:left="1440" w:hanging="360"/>
      </w:pPr>
    </w:lvl>
  </w:abstractNum>
  <w:abstractNum w:abstractNumId="2">
    <w:nsid w:val="FFFFFF7E"/>
    <w:multiLevelType w:val="singleLevel"/>
    <w:tmpl w:val="A5F4FE8A"/>
    <w:lvl w:ilvl="0">
      <w:start w:val="1"/>
      <w:numFmt w:val="decimal"/>
      <w:lvlText w:val="%1."/>
      <w:lvlJc w:val="left"/>
      <w:pPr>
        <w:tabs>
          <w:tab w:val="num" w:pos="1080"/>
        </w:tabs>
        <w:ind w:left="1080" w:hanging="360"/>
      </w:pPr>
    </w:lvl>
  </w:abstractNum>
  <w:abstractNum w:abstractNumId="3">
    <w:nsid w:val="FFFFFF7F"/>
    <w:multiLevelType w:val="singleLevel"/>
    <w:tmpl w:val="FD904976"/>
    <w:lvl w:ilvl="0">
      <w:start w:val="1"/>
      <w:numFmt w:val="decimal"/>
      <w:lvlText w:val="%1."/>
      <w:lvlJc w:val="left"/>
      <w:pPr>
        <w:tabs>
          <w:tab w:val="num" w:pos="720"/>
        </w:tabs>
        <w:ind w:left="720" w:hanging="360"/>
      </w:pPr>
    </w:lvl>
  </w:abstractNum>
  <w:abstractNum w:abstractNumId="4">
    <w:nsid w:val="FFFFFF80"/>
    <w:multiLevelType w:val="singleLevel"/>
    <w:tmpl w:val="7E261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4AE0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82C7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4219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66D78"/>
    <w:lvl w:ilvl="0">
      <w:start w:val="1"/>
      <w:numFmt w:val="decimal"/>
      <w:lvlText w:val="%1."/>
      <w:lvlJc w:val="left"/>
      <w:pPr>
        <w:tabs>
          <w:tab w:val="num" w:pos="360"/>
        </w:tabs>
        <w:ind w:left="360" w:hanging="360"/>
      </w:pPr>
    </w:lvl>
  </w:abstractNum>
  <w:abstractNum w:abstractNumId="9">
    <w:nsid w:val="FFFFFF89"/>
    <w:multiLevelType w:val="singleLevel"/>
    <w:tmpl w:val="4ECE8B7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22EBA78"/>
    <w:lvl w:ilvl="0">
      <w:numFmt w:val="bullet"/>
      <w:lvlText w:val="*"/>
      <w:lvlJc w:val="left"/>
    </w:lvl>
  </w:abstractNum>
  <w:abstractNum w:abstractNumId="1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10EF4599"/>
    <w:multiLevelType w:val="hybridMultilevel"/>
    <w:tmpl w:val="D20215FA"/>
    <w:lvl w:ilvl="0" w:tplc="DF321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853A39"/>
    <w:multiLevelType w:val="hybridMultilevel"/>
    <w:tmpl w:val="ABF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7D402A"/>
    <w:multiLevelType w:val="hybridMultilevel"/>
    <w:tmpl w:val="6AD04282"/>
    <w:lvl w:ilvl="0" w:tplc="228809E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511603"/>
    <w:multiLevelType w:val="hybridMultilevel"/>
    <w:tmpl w:val="3064B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312792"/>
    <w:multiLevelType w:val="hybridMultilevel"/>
    <w:tmpl w:val="944227F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9D0358"/>
    <w:multiLevelType w:val="hybridMultilevel"/>
    <w:tmpl w:val="357C1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5B2817"/>
    <w:multiLevelType w:val="hybridMultilevel"/>
    <w:tmpl w:val="756C1BF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FF30888"/>
    <w:multiLevelType w:val="hybridMultilevel"/>
    <w:tmpl w:val="10BC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721"/>
        <w:lvlJc w:val="left"/>
        <w:pPr>
          <w:ind w:left="1442" w:hanging="721"/>
        </w:pPr>
        <w:rPr>
          <w:rFonts w:ascii="Times New Roman" w:hAnsi="Times New Roman" w:cs="Times New Roman"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8"/>
  </w:num>
  <w:num w:numId="15">
    <w:abstractNumId w:val="16"/>
  </w:num>
  <w:num w:numId="16">
    <w:abstractNumId w:val="13"/>
  </w:num>
  <w:num w:numId="17">
    <w:abstractNumId w:val="14"/>
  </w:num>
  <w:num w:numId="18">
    <w:abstractNumId w:val="15"/>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Ruyssevelt">
    <w15:presenceInfo w15:providerId="Windows Live" w15:userId="b6ea58893deaf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C1"/>
    <w:rsid w:val="00006B24"/>
    <w:rsid w:val="00007161"/>
    <w:rsid w:val="00015BE3"/>
    <w:rsid w:val="000333DC"/>
    <w:rsid w:val="000567ED"/>
    <w:rsid w:val="000675FD"/>
    <w:rsid w:val="000708F3"/>
    <w:rsid w:val="0007342A"/>
    <w:rsid w:val="00082AE3"/>
    <w:rsid w:val="000A1C7E"/>
    <w:rsid w:val="000D496F"/>
    <w:rsid w:val="000D623D"/>
    <w:rsid w:val="000E002C"/>
    <w:rsid w:val="00104BFA"/>
    <w:rsid w:val="00163F06"/>
    <w:rsid w:val="00164675"/>
    <w:rsid w:val="00164D6B"/>
    <w:rsid w:val="00187C47"/>
    <w:rsid w:val="001B30E4"/>
    <w:rsid w:val="001D1095"/>
    <w:rsid w:val="001E3780"/>
    <w:rsid w:val="001E608B"/>
    <w:rsid w:val="0020659A"/>
    <w:rsid w:val="00207F77"/>
    <w:rsid w:val="002352CD"/>
    <w:rsid w:val="00244571"/>
    <w:rsid w:val="002542ED"/>
    <w:rsid w:val="00262A1E"/>
    <w:rsid w:val="00275CBB"/>
    <w:rsid w:val="002841E3"/>
    <w:rsid w:val="00292D99"/>
    <w:rsid w:val="002943F4"/>
    <w:rsid w:val="002A73CC"/>
    <w:rsid w:val="002D4ED7"/>
    <w:rsid w:val="002E09D4"/>
    <w:rsid w:val="00313F47"/>
    <w:rsid w:val="0034037D"/>
    <w:rsid w:val="00350A2E"/>
    <w:rsid w:val="00374724"/>
    <w:rsid w:val="003935BE"/>
    <w:rsid w:val="00394639"/>
    <w:rsid w:val="0039581A"/>
    <w:rsid w:val="003B06AE"/>
    <w:rsid w:val="003C3F68"/>
    <w:rsid w:val="00401B8C"/>
    <w:rsid w:val="00457915"/>
    <w:rsid w:val="00482DF5"/>
    <w:rsid w:val="004A29CB"/>
    <w:rsid w:val="004A4A9F"/>
    <w:rsid w:val="004A4D01"/>
    <w:rsid w:val="004E7BFD"/>
    <w:rsid w:val="004F63FE"/>
    <w:rsid w:val="005054EA"/>
    <w:rsid w:val="00545626"/>
    <w:rsid w:val="00551BBD"/>
    <w:rsid w:val="0056456A"/>
    <w:rsid w:val="00584243"/>
    <w:rsid w:val="00585810"/>
    <w:rsid w:val="00587ED3"/>
    <w:rsid w:val="00593223"/>
    <w:rsid w:val="005B2FF6"/>
    <w:rsid w:val="005C4F3B"/>
    <w:rsid w:val="005D157B"/>
    <w:rsid w:val="005E12B5"/>
    <w:rsid w:val="005F08D6"/>
    <w:rsid w:val="005F7F62"/>
    <w:rsid w:val="006231DD"/>
    <w:rsid w:val="00637EA4"/>
    <w:rsid w:val="00641AB8"/>
    <w:rsid w:val="006446EA"/>
    <w:rsid w:val="006722DB"/>
    <w:rsid w:val="00684AD8"/>
    <w:rsid w:val="006B1B47"/>
    <w:rsid w:val="006C0655"/>
    <w:rsid w:val="006E0D39"/>
    <w:rsid w:val="006E3FB4"/>
    <w:rsid w:val="006E4AB6"/>
    <w:rsid w:val="00725343"/>
    <w:rsid w:val="007779C4"/>
    <w:rsid w:val="00794FEB"/>
    <w:rsid w:val="007A1573"/>
    <w:rsid w:val="007B7D67"/>
    <w:rsid w:val="007C76F2"/>
    <w:rsid w:val="007E66C8"/>
    <w:rsid w:val="007F3713"/>
    <w:rsid w:val="007F7A11"/>
    <w:rsid w:val="00817251"/>
    <w:rsid w:val="0082745E"/>
    <w:rsid w:val="0086495E"/>
    <w:rsid w:val="0087661E"/>
    <w:rsid w:val="00882D75"/>
    <w:rsid w:val="0089151B"/>
    <w:rsid w:val="008A1DD9"/>
    <w:rsid w:val="008D3BFB"/>
    <w:rsid w:val="009043B5"/>
    <w:rsid w:val="00907E17"/>
    <w:rsid w:val="00923F23"/>
    <w:rsid w:val="009738F2"/>
    <w:rsid w:val="00974D7B"/>
    <w:rsid w:val="009A19B1"/>
    <w:rsid w:val="009A6478"/>
    <w:rsid w:val="009C4AF0"/>
    <w:rsid w:val="009D4364"/>
    <w:rsid w:val="00A1152D"/>
    <w:rsid w:val="00A12393"/>
    <w:rsid w:val="00A2781B"/>
    <w:rsid w:val="00A4204C"/>
    <w:rsid w:val="00A45D12"/>
    <w:rsid w:val="00A540D0"/>
    <w:rsid w:val="00A835C5"/>
    <w:rsid w:val="00AA22F9"/>
    <w:rsid w:val="00AA3A29"/>
    <w:rsid w:val="00AC7633"/>
    <w:rsid w:val="00AD245A"/>
    <w:rsid w:val="00AE3657"/>
    <w:rsid w:val="00AF133A"/>
    <w:rsid w:val="00AF3146"/>
    <w:rsid w:val="00B0642C"/>
    <w:rsid w:val="00B249E6"/>
    <w:rsid w:val="00B36583"/>
    <w:rsid w:val="00B707B0"/>
    <w:rsid w:val="00B82E6E"/>
    <w:rsid w:val="00B900C1"/>
    <w:rsid w:val="00BA3BC5"/>
    <w:rsid w:val="00BD6A21"/>
    <w:rsid w:val="00BD78C5"/>
    <w:rsid w:val="00BE648C"/>
    <w:rsid w:val="00BE6FCF"/>
    <w:rsid w:val="00BF3C4C"/>
    <w:rsid w:val="00C20487"/>
    <w:rsid w:val="00C35ABF"/>
    <w:rsid w:val="00C568F2"/>
    <w:rsid w:val="00C64C0E"/>
    <w:rsid w:val="00CA0838"/>
    <w:rsid w:val="00CA18F9"/>
    <w:rsid w:val="00CC0A14"/>
    <w:rsid w:val="00CE2ADB"/>
    <w:rsid w:val="00CF0EAB"/>
    <w:rsid w:val="00CF44AF"/>
    <w:rsid w:val="00D14323"/>
    <w:rsid w:val="00D33F31"/>
    <w:rsid w:val="00D4419B"/>
    <w:rsid w:val="00D500BB"/>
    <w:rsid w:val="00D51B32"/>
    <w:rsid w:val="00D5501E"/>
    <w:rsid w:val="00D907AF"/>
    <w:rsid w:val="00DA1CBC"/>
    <w:rsid w:val="00DD6AE6"/>
    <w:rsid w:val="00DE3714"/>
    <w:rsid w:val="00DE3C13"/>
    <w:rsid w:val="00DF43FE"/>
    <w:rsid w:val="00DF6B8B"/>
    <w:rsid w:val="00E2783D"/>
    <w:rsid w:val="00E43B93"/>
    <w:rsid w:val="00E6547C"/>
    <w:rsid w:val="00E70869"/>
    <w:rsid w:val="00E73141"/>
    <w:rsid w:val="00EE10B1"/>
    <w:rsid w:val="00EE6576"/>
    <w:rsid w:val="00EF28C1"/>
    <w:rsid w:val="00EF3A6A"/>
    <w:rsid w:val="00F01440"/>
    <w:rsid w:val="00F02AB7"/>
    <w:rsid w:val="00F20D64"/>
    <w:rsid w:val="00F43763"/>
    <w:rsid w:val="00F5612D"/>
    <w:rsid w:val="00F7443A"/>
    <w:rsid w:val="00F83E84"/>
    <w:rsid w:val="00FB69DB"/>
    <w:rsid w:val="00FC4E92"/>
    <w:rsid w:val="00FE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24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rsid w:val="005E12B5"/>
    <w:pPr>
      <w:keepNext/>
      <w:spacing w:before="240" w:after="240"/>
      <w:outlineLvl w:val="0"/>
    </w:pPr>
    <w:rPr>
      <w:rFonts w:cs="Arial"/>
      <w:b/>
      <w:bCs/>
      <w:kern w:val="32"/>
      <w:sz w:val="28"/>
      <w:szCs w:val="32"/>
    </w:rPr>
  </w:style>
  <w:style w:type="paragraph" w:styleId="Heading2">
    <w:name w:val="heading 2"/>
    <w:basedOn w:val="Normal"/>
    <w:next w:val="Normal"/>
    <w:qFormat/>
    <w:rsid w:val="005E12B5"/>
    <w:pPr>
      <w:keepNext/>
      <w:spacing w:before="240" w:after="240"/>
      <w:outlineLvl w:val="1"/>
    </w:pPr>
    <w:rPr>
      <w:rFonts w:cs="Arial"/>
      <w:b/>
      <w:bCs/>
      <w:iCs/>
      <w:szCs w:val="28"/>
    </w:rPr>
  </w:style>
  <w:style w:type="paragraph" w:styleId="Heading3">
    <w:name w:val="heading 3"/>
    <w:basedOn w:val="Normal"/>
    <w:next w:val="Normal"/>
    <w:qFormat/>
    <w:rsid w:val="005E12B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2" w:right="721" w:hanging="721"/>
    </w:pPr>
  </w:style>
  <w:style w:type="paragraph" w:styleId="BalloonText">
    <w:name w:val="Balloon Text"/>
    <w:basedOn w:val="Normal"/>
    <w:semiHidden/>
    <w:rsid w:val="00374724"/>
    <w:rPr>
      <w:rFonts w:ascii="Tahoma" w:hAnsi="Tahoma" w:cs="Tahoma"/>
      <w:sz w:val="16"/>
      <w:szCs w:val="16"/>
    </w:rPr>
  </w:style>
  <w:style w:type="paragraph" w:styleId="Header">
    <w:name w:val="header"/>
    <w:basedOn w:val="Normal"/>
    <w:rsid w:val="00AD245A"/>
    <w:pPr>
      <w:tabs>
        <w:tab w:val="center" w:pos="4320"/>
        <w:tab w:val="right" w:pos="8640"/>
      </w:tabs>
    </w:pPr>
  </w:style>
  <w:style w:type="paragraph" w:styleId="Footer">
    <w:name w:val="footer"/>
    <w:basedOn w:val="Normal"/>
    <w:rsid w:val="00AD245A"/>
    <w:pPr>
      <w:tabs>
        <w:tab w:val="center" w:pos="4320"/>
        <w:tab w:val="right" w:pos="8640"/>
      </w:tabs>
    </w:pPr>
  </w:style>
  <w:style w:type="paragraph" w:customStyle="1" w:styleId="AbstractHeading">
    <w:name w:val="Abstract Heading"/>
    <w:basedOn w:val="Heading1"/>
    <w:rsid w:val="005E12B5"/>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pPr>
    <w:rPr>
      <w:bCs w:val="0"/>
      <w:szCs w:val="28"/>
    </w:rPr>
  </w:style>
  <w:style w:type="paragraph" w:styleId="BodyTextIndent">
    <w:name w:val="Body Text Indent"/>
    <w:basedOn w:val="Normal"/>
    <w:link w:val="BodyTextIndentChar"/>
    <w:rsid w:val="005E12B5"/>
    <w:pPr>
      <w:ind w:firstLine="720"/>
    </w:pPr>
  </w:style>
  <w:style w:type="paragraph" w:styleId="FootnoteText">
    <w:name w:val="footnote text"/>
    <w:basedOn w:val="Normal"/>
    <w:link w:val="FootnoteTextChar"/>
    <w:rsid w:val="00D4419B"/>
    <w:rPr>
      <w:sz w:val="20"/>
      <w:szCs w:val="20"/>
    </w:rPr>
  </w:style>
  <w:style w:type="character" w:customStyle="1" w:styleId="BodyTextIndentChar">
    <w:name w:val="Body Text Indent Char"/>
    <w:link w:val="BodyTextIndent"/>
    <w:rsid w:val="00082AE3"/>
    <w:rPr>
      <w:sz w:val="24"/>
      <w:szCs w:val="24"/>
    </w:rPr>
  </w:style>
  <w:style w:type="character" w:customStyle="1" w:styleId="FootnoteTextChar">
    <w:name w:val="Footnote Text Char"/>
    <w:link w:val="FootnoteText"/>
    <w:rsid w:val="00D4419B"/>
    <w:rPr>
      <w:lang w:val="en-US" w:eastAsia="en-US"/>
    </w:rPr>
  </w:style>
  <w:style w:type="character" w:styleId="Hyperlink">
    <w:name w:val="Hyperlink"/>
    <w:rsid w:val="00A12393"/>
    <w:rPr>
      <w:color w:val="0000FF"/>
      <w:u w:val="single"/>
    </w:rPr>
  </w:style>
  <w:style w:type="paragraph" w:styleId="ListParagraph">
    <w:name w:val="List Paragraph"/>
    <w:basedOn w:val="Normal"/>
    <w:uiPriority w:val="34"/>
    <w:qFormat/>
    <w:rsid w:val="0039581A"/>
    <w:pPr>
      <w:ind w:left="720"/>
      <w:contextualSpacing/>
    </w:pPr>
  </w:style>
  <w:style w:type="character" w:styleId="CommentReference">
    <w:name w:val="annotation reference"/>
    <w:basedOn w:val="DefaultParagraphFont"/>
    <w:rsid w:val="000333DC"/>
    <w:rPr>
      <w:sz w:val="16"/>
      <w:szCs w:val="16"/>
    </w:rPr>
  </w:style>
  <w:style w:type="paragraph" w:styleId="CommentText">
    <w:name w:val="annotation text"/>
    <w:basedOn w:val="Normal"/>
    <w:link w:val="CommentTextChar"/>
    <w:rsid w:val="000333DC"/>
    <w:rPr>
      <w:sz w:val="20"/>
      <w:szCs w:val="20"/>
    </w:rPr>
  </w:style>
  <w:style w:type="character" w:customStyle="1" w:styleId="CommentTextChar">
    <w:name w:val="Comment Text Char"/>
    <w:basedOn w:val="DefaultParagraphFont"/>
    <w:link w:val="CommentText"/>
    <w:rsid w:val="000333DC"/>
    <w:rPr>
      <w:lang w:val="en-US" w:eastAsia="en-US"/>
    </w:rPr>
  </w:style>
  <w:style w:type="paragraph" w:styleId="CommentSubject">
    <w:name w:val="annotation subject"/>
    <w:basedOn w:val="CommentText"/>
    <w:next w:val="CommentText"/>
    <w:link w:val="CommentSubjectChar"/>
    <w:rsid w:val="000333DC"/>
    <w:rPr>
      <w:b/>
      <w:bCs/>
    </w:rPr>
  </w:style>
  <w:style w:type="character" w:customStyle="1" w:styleId="CommentSubjectChar">
    <w:name w:val="Comment Subject Char"/>
    <w:basedOn w:val="CommentTextChar"/>
    <w:link w:val="CommentSubject"/>
    <w:rsid w:val="000333D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rsid w:val="005E12B5"/>
    <w:pPr>
      <w:keepNext/>
      <w:spacing w:before="240" w:after="240"/>
      <w:outlineLvl w:val="0"/>
    </w:pPr>
    <w:rPr>
      <w:rFonts w:cs="Arial"/>
      <w:b/>
      <w:bCs/>
      <w:kern w:val="32"/>
      <w:sz w:val="28"/>
      <w:szCs w:val="32"/>
    </w:rPr>
  </w:style>
  <w:style w:type="paragraph" w:styleId="Heading2">
    <w:name w:val="heading 2"/>
    <w:basedOn w:val="Normal"/>
    <w:next w:val="Normal"/>
    <w:qFormat/>
    <w:rsid w:val="005E12B5"/>
    <w:pPr>
      <w:keepNext/>
      <w:spacing w:before="240" w:after="240"/>
      <w:outlineLvl w:val="1"/>
    </w:pPr>
    <w:rPr>
      <w:rFonts w:cs="Arial"/>
      <w:b/>
      <w:bCs/>
      <w:iCs/>
      <w:szCs w:val="28"/>
    </w:rPr>
  </w:style>
  <w:style w:type="paragraph" w:styleId="Heading3">
    <w:name w:val="heading 3"/>
    <w:basedOn w:val="Normal"/>
    <w:next w:val="Normal"/>
    <w:qFormat/>
    <w:rsid w:val="005E12B5"/>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2" w:right="721" w:hanging="721"/>
    </w:pPr>
  </w:style>
  <w:style w:type="paragraph" w:styleId="BalloonText">
    <w:name w:val="Balloon Text"/>
    <w:basedOn w:val="Normal"/>
    <w:semiHidden/>
    <w:rsid w:val="00374724"/>
    <w:rPr>
      <w:rFonts w:ascii="Tahoma" w:hAnsi="Tahoma" w:cs="Tahoma"/>
      <w:sz w:val="16"/>
      <w:szCs w:val="16"/>
    </w:rPr>
  </w:style>
  <w:style w:type="paragraph" w:styleId="Header">
    <w:name w:val="header"/>
    <w:basedOn w:val="Normal"/>
    <w:rsid w:val="00AD245A"/>
    <w:pPr>
      <w:tabs>
        <w:tab w:val="center" w:pos="4320"/>
        <w:tab w:val="right" w:pos="8640"/>
      </w:tabs>
    </w:pPr>
  </w:style>
  <w:style w:type="paragraph" w:styleId="Footer">
    <w:name w:val="footer"/>
    <w:basedOn w:val="Normal"/>
    <w:rsid w:val="00AD245A"/>
    <w:pPr>
      <w:tabs>
        <w:tab w:val="center" w:pos="4320"/>
        <w:tab w:val="right" w:pos="8640"/>
      </w:tabs>
    </w:pPr>
  </w:style>
  <w:style w:type="paragraph" w:customStyle="1" w:styleId="AbstractHeading">
    <w:name w:val="Abstract Heading"/>
    <w:basedOn w:val="Heading1"/>
    <w:rsid w:val="005E12B5"/>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pPr>
    <w:rPr>
      <w:bCs w:val="0"/>
      <w:szCs w:val="28"/>
    </w:rPr>
  </w:style>
  <w:style w:type="paragraph" w:styleId="BodyTextIndent">
    <w:name w:val="Body Text Indent"/>
    <w:basedOn w:val="Normal"/>
    <w:link w:val="BodyTextIndentChar"/>
    <w:rsid w:val="005E12B5"/>
    <w:pPr>
      <w:ind w:firstLine="720"/>
    </w:pPr>
  </w:style>
  <w:style w:type="paragraph" w:styleId="FootnoteText">
    <w:name w:val="footnote text"/>
    <w:basedOn w:val="Normal"/>
    <w:link w:val="FootnoteTextChar"/>
    <w:rsid w:val="00D4419B"/>
    <w:rPr>
      <w:sz w:val="20"/>
      <w:szCs w:val="20"/>
    </w:rPr>
  </w:style>
  <w:style w:type="character" w:customStyle="1" w:styleId="BodyTextIndentChar">
    <w:name w:val="Body Text Indent Char"/>
    <w:link w:val="BodyTextIndent"/>
    <w:rsid w:val="00082AE3"/>
    <w:rPr>
      <w:sz w:val="24"/>
      <w:szCs w:val="24"/>
    </w:rPr>
  </w:style>
  <w:style w:type="character" w:customStyle="1" w:styleId="FootnoteTextChar">
    <w:name w:val="Footnote Text Char"/>
    <w:link w:val="FootnoteText"/>
    <w:rsid w:val="00D4419B"/>
    <w:rPr>
      <w:lang w:val="en-US" w:eastAsia="en-US"/>
    </w:rPr>
  </w:style>
  <w:style w:type="character" w:styleId="Hyperlink">
    <w:name w:val="Hyperlink"/>
    <w:rsid w:val="00A12393"/>
    <w:rPr>
      <w:color w:val="0000FF"/>
      <w:u w:val="single"/>
    </w:rPr>
  </w:style>
  <w:style w:type="paragraph" w:styleId="ListParagraph">
    <w:name w:val="List Paragraph"/>
    <w:basedOn w:val="Normal"/>
    <w:uiPriority w:val="34"/>
    <w:qFormat/>
    <w:rsid w:val="0039581A"/>
    <w:pPr>
      <w:ind w:left="720"/>
      <w:contextualSpacing/>
    </w:pPr>
  </w:style>
  <w:style w:type="character" w:styleId="CommentReference">
    <w:name w:val="annotation reference"/>
    <w:basedOn w:val="DefaultParagraphFont"/>
    <w:rsid w:val="000333DC"/>
    <w:rPr>
      <w:sz w:val="16"/>
      <w:szCs w:val="16"/>
    </w:rPr>
  </w:style>
  <w:style w:type="paragraph" w:styleId="CommentText">
    <w:name w:val="annotation text"/>
    <w:basedOn w:val="Normal"/>
    <w:link w:val="CommentTextChar"/>
    <w:rsid w:val="000333DC"/>
    <w:rPr>
      <w:sz w:val="20"/>
      <w:szCs w:val="20"/>
    </w:rPr>
  </w:style>
  <w:style w:type="character" w:customStyle="1" w:styleId="CommentTextChar">
    <w:name w:val="Comment Text Char"/>
    <w:basedOn w:val="DefaultParagraphFont"/>
    <w:link w:val="CommentText"/>
    <w:rsid w:val="000333DC"/>
    <w:rPr>
      <w:lang w:val="en-US" w:eastAsia="en-US"/>
    </w:rPr>
  </w:style>
  <w:style w:type="paragraph" w:styleId="CommentSubject">
    <w:name w:val="annotation subject"/>
    <w:basedOn w:val="CommentText"/>
    <w:next w:val="CommentText"/>
    <w:link w:val="CommentSubjectChar"/>
    <w:rsid w:val="000333DC"/>
    <w:rPr>
      <w:b/>
      <w:bCs/>
    </w:rPr>
  </w:style>
  <w:style w:type="character" w:customStyle="1" w:styleId="CommentSubjectChar">
    <w:name w:val="Comment Subject Char"/>
    <w:basedOn w:val="CommentTextChar"/>
    <w:link w:val="CommentSubject"/>
    <w:rsid w:val="000333D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7458">
      <w:bodyDiv w:val="1"/>
      <w:marLeft w:val="0"/>
      <w:marRight w:val="0"/>
      <w:marTop w:val="0"/>
      <w:marBottom w:val="0"/>
      <w:divBdr>
        <w:top w:val="none" w:sz="0" w:space="0" w:color="auto"/>
        <w:left w:val="none" w:sz="0" w:space="0" w:color="auto"/>
        <w:bottom w:val="none" w:sz="0" w:space="0" w:color="auto"/>
        <w:right w:val="none" w:sz="0" w:space="0" w:color="auto"/>
      </w:divBdr>
      <w:divsChild>
        <w:div w:id="1409110513">
          <w:marLeft w:val="0"/>
          <w:marRight w:val="0"/>
          <w:marTop w:val="0"/>
          <w:marBottom w:val="0"/>
          <w:divBdr>
            <w:top w:val="none" w:sz="0" w:space="0" w:color="auto"/>
            <w:left w:val="none" w:sz="0" w:space="0" w:color="auto"/>
            <w:bottom w:val="none" w:sz="0" w:space="0" w:color="auto"/>
            <w:right w:val="none" w:sz="0" w:space="0" w:color="auto"/>
          </w:divBdr>
          <w:divsChild>
            <w:div w:id="2028288787">
              <w:marLeft w:val="0"/>
              <w:marRight w:val="0"/>
              <w:marTop w:val="0"/>
              <w:marBottom w:val="0"/>
              <w:divBdr>
                <w:top w:val="none" w:sz="0" w:space="0" w:color="auto"/>
                <w:left w:val="none" w:sz="0" w:space="0" w:color="auto"/>
                <w:bottom w:val="none" w:sz="0" w:space="0" w:color="auto"/>
                <w:right w:val="none" w:sz="0" w:space="0" w:color="auto"/>
              </w:divBdr>
              <w:divsChild>
                <w:div w:id="1640576524">
                  <w:marLeft w:val="0"/>
                  <w:marRight w:val="0"/>
                  <w:marTop w:val="0"/>
                  <w:marBottom w:val="0"/>
                  <w:divBdr>
                    <w:top w:val="none" w:sz="0" w:space="0" w:color="auto"/>
                    <w:left w:val="none" w:sz="0" w:space="0" w:color="auto"/>
                    <w:bottom w:val="none" w:sz="0" w:space="0" w:color="auto"/>
                    <w:right w:val="none" w:sz="0" w:space="0" w:color="auto"/>
                  </w:divBdr>
                  <w:divsChild>
                    <w:div w:id="758913502">
                      <w:marLeft w:val="0"/>
                      <w:marRight w:val="0"/>
                      <w:marTop w:val="0"/>
                      <w:marBottom w:val="0"/>
                      <w:divBdr>
                        <w:top w:val="none" w:sz="0" w:space="0" w:color="auto"/>
                        <w:left w:val="none" w:sz="0" w:space="0" w:color="auto"/>
                        <w:bottom w:val="none" w:sz="0" w:space="0" w:color="auto"/>
                        <w:right w:val="none" w:sz="0" w:space="0" w:color="auto"/>
                      </w:divBdr>
                      <w:divsChild>
                        <w:div w:id="1251546295">
                          <w:marLeft w:val="0"/>
                          <w:marRight w:val="0"/>
                          <w:marTop w:val="0"/>
                          <w:marBottom w:val="600"/>
                          <w:divBdr>
                            <w:top w:val="single" w:sz="6" w:space="0" w:color="DFDEDD"/>
                            <w:left w:val="single" w:sz="6" w:space="0" w:color="DFDEDD"/>
                            <w:bottom w:val="single" w:sz="6" w:space="0" w:color="DFDEDD"/>
                            <w:right w:val="single" w:sz="6" w:space="0" w:color="DFDEDD"/>
                          </w:divBdr>
                        </w:div>
                      </w:divsChild>
                    </w:div>
                  </w:divsChild>
                </w:div>
              </w:divsChild>
            </w:div>
          </w:divsChild>
        </w:div>
      </w:divsChild>
    </w:div>
    <w:div w:id="85793411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44">
          <w:marLeft w:val="0"/>
          <w:marRight w:val="0"/>
          <w:marTop w:val="0"/>
          <w:marBottom w:val="0"/>
          <w:divBdr>
            <w:top w:val="none" w:sz="0" w:space="0" w:color="auto"/>
            <w:left w:val="none" w:sz="0" w:space="0" w:color="auto"/>
            <w:bottom w:val="none" w:sz="0" w:space="0" w:color="auto"/>
            <w:right w:val="none" w:sz="0" w:space="0" w:color="auto"/>
          </w:divBdr>
          <w:divsChild>
            <w:div w:id="144787570">
              <w:marLeft w:val="0"/>
              <w:marRight w:val="0"/>
              <w:marTop w:val="0"/>
              <w:marBottom w:val="0"/>
              <w:divBdr>
                <w:top w:val="none" w:sz="0" w:space="0" w:color="auto"/>
                <w:left w:val="none" w:sz="0" w:space="0" w:color="auto"/>
                <w:bottom w:val="none" w:sz="0" w:space="0" w:color="auto"/>
                <w:right w:val="none" w:sz="0" w:space="0" w:color="auto"/>
              </w:divBdr>
              <w:divsChild>
                <w:div w:id="1625890281">
                  <w:marLeft w:val="0"/>
                  <w:marRight w:val="0"/>
                  <w:marTop w:val="0"/>
                  <w:marBottom w:val="0"/>
                  <w:divBdr>
                    <w:top w:val="none" w:sz="0" w:space="0" w:color="auto"/>
                    <w:left w:val="none" w:sz="0" w:space="0" w:color="auto"/>
                    <w:bottom w:val="none" w:sz="0" w:space="0" w:color="auto"/>
                    <w:right w:val="none" w:sz="0" w:space="0" w:color="auto"/>
                  </w:divBdr>
                  <w:divsChild>
                    <w:div w:id="1775056485">
                      <w:marLeft w:val="0"/>
                      <w:marRight w:val="0"/>
                      <w:marTop w:val="0"/>
                      <w:marBottom w:val="0"/>
                      <w:divBdr>
                        <w:top w:val="none" w:sz="0" w:space="0" w:color="auto"/>
                        <w:left w:val="none" w:sz="0" w:space="0" w:color="auto"/>
                        <w:bottom w:val="none" w:sz="0" w:space="0" w:color="auto"/>
                        <w:right w:val="none" w:sz="0" w:space="0" w:color="auto"/>
                      </w:divBdr>
                      <w:divsChild>
                        <w:div w:id="2023436624">
                          <w:marLeft w:val="0"/>
                          <w:marRight w:val="0"/>
                          <w:marTop w:val="0"/>
                          <w:marBottom w:val="600"/>
                          <w:divBdr>
                            <w:top w:val="single" w:sz="6" w:space="0" w:color="DFDEDD"/>
                            <w:left w:val="single" w:sz="6" w:space="0" w:color="DFDEDD"/>
                            <w:bottom w:val="single" w:sz="6" w:space="0" w:color="DFDEDD"/>
                            <w:right w:val="single" w:sz="6" w:space="0" w:color="DFDED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4A18-7E79-4DC4-A19F-8DD25C0D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3029</Words>
  <Characters>17268</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BEHAVE 2014 Paper Guidelines</vt:lpstr>
      <vt:lpstr>BEHAVE 2014 Paper Guidelines</vt:lpstr>
    </vt:vector>
  </TitlesOfParts>
  <Company>UKERC</Company>
  <LinksUpToDate>false</LinksUpToDate>
  <CharactersWithSpaces>20257</CharactersWithSpaces>
  <SharedDoc>false</SharedDoc>
  <HLinks>
    <vt:vector size="6" baseType="variant">
      <vt:variant>
        <vt:i4>5177454</vt:i4>
      </vt:variant>
      <vt:variant>
        <vt:i4>0</vt:i4>
      </vt:variant>
      <vt:variant>
        <vt:i4>0</vt:i4>
      </vt:variant>
      <vt:variant>
        <vt:i4>5</vt:i4>
      </vt:variant>
      <vt:variant>
        <vt:lpwstr>mailto:papers@behaveconference.com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BEHAVE 2014 Paper Guidelines</dc:title>
  <dc:creator>Paula Morgenstern</dc:creator>
  <cp:lastModifiedBy>Paula</cp:lastModifiedBy>
  <cp:revision>4</cp:revision>
  <cp:lastPrinted>2013-02-27T11:15:00Z</cp:lastPrinted>
  <dcterms:created xsi:type="dcterms:W3CDTF">2014-07-23T14:38:00Z</dcterms:created>
  <dcterms:modified xsi:type="dcterms:W3CDTF">2014-07-23T15:31:00Z</dcterms:modified>
</cp:coreProperties>
</file>